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2F3DB" w14:textId="47F67C6A" w:rsidR="00F42659" w:rsidRDefault="00C723A1" w:rsidP="00F42659">
      <w:pPr>
        <w:pStyle w:val="NormalSingle"/>
        <w:rPr>
          <w:rFonts w:ascii="Arial Black" w:hAnsi="Arial Black"/>
          <w:sz w:val="28"/>
          <w:szCs w:val="28"/>
        </w:rPr>
      </w:pPr>
      <w:r>
        <w:rPr>
          <w:rFonts w:ascii="Arial Black" w:hAnsi="Arial Black"/>
          <w:sz w:val="28"/>
          <w:szCs w:val="28"/>
        </w:rPr>
        <w:t>Amari Plastics Plc Pension</w:t>
      </w:r>
      <w:r w:rsidR="00F42659">
        <w:rPr>
          <w:rFonts w:ascii="Arial Black" w:hAnsi="Arial Black"/>
          <w:sz w:val="28"/>
          <w:szCs w:val="28"/>
        </w:rPr>
        <w:t xml:space="preserve"> Scheme</w:t>
      </w:r>
    </w:p>
    <w:p w14:paraId="23885091" w14:textId="6084D9C9" w:rsidR="00F5448B" w:rsidRDefault="00F5448B" w:rsidP="00F5448B">
      <w:pPr>
        <w:pStyle w:val="NormalSingle"/>
        <w:rPr>
          <w:rFonts w:ascii="Arial Black" w:hAnsi="Arial Black"/>
          <w:sz w:val="28"/>
          <w:szCs w:val="28"/>
        </w:rPr>
      </w:pPr>
    </w:p>
    <w:p w14:paraId="3F87A08B" w14:textId="4F9DE2FD" w:rsidR="009A7DF6" w:rsidRPr="00AC73C9" w:rsidRDefault="008F0C71" w:rsidP="00C60771">
      <w:pPr>
        <w:pStyle w:val="Heading2"/>
      </w:pPr>
      <w:r>
        <w:t>Annual Engagement Policy Implementation Statement</w:t>
      </w:r>
      <w:r w:rsidR="00571A26" w:rsidRPr="00AC73C9">
        <w:t xml:space="preserve"> –</w:t>
      </w:r>
      <w:r w:rsidR="0006591E">
        <w:t xml:space="preserve"> </w:t>
      </w:r>
      <w:r w:rsidR="00126B62">
        <w:t>March</w:t>
      </w:r>
      <w:r w:rsidR="00B56EE5">
        <w:t xml:space="preserve"> </w:t>
      </w:r>
      <w:r w:rsidR="00C50172">
        <w:t>202</w:t>
      </w:r>
      <w:r w:rsidR="00F54BDE">
        <w:t>4</w:t>
      </w:r>
    </w:p>
    <w:p w14:paraId="5126D47A" w14:textId="77777777" w:rsidR="00571A26" w:rsidRPr="00AC73C9" w:rsidRDefault="00571A26" w:rsidP="00571A26">
      <w:pPr>
        <w:pStyle w:val="OutlineNum"/>
        <w:suppressLineNumbers/>
        <w:suppressAutoHyphens/>
        <w:ind w:left="706" w:hanging="706"/>
        <w:outlineLvl w:val="0"/>
        <w:rPr>
          <w:rFonts w:ascii="Arial" w:hAnsi="Arial" w:cs="Arial"/>
          <w:b/>
        </w:rPr>
      </w:pPr>
      <w:r w:rsidRPr="00AC73C9">
        <w:rPr>
          <w:rFonts w:ascii="Arial" w:hAnsi="Arial" w:cs="Arial"/>
          <w:b/>
        </w:rPr>
        <w:t>Introduction</w:t>
      </w:r>
    </w:p>
    <w:p w14:paraId="762BEC76" w14:textId="710C1F93" w:rsidR="00F94AC7" w:rsidRDefault="00F94AC7" w:rsidP="00F94AC7">
      <w:pPr>
        <w:ind w:left="706"/>
        <w:jc w:val="both"/>
        <w:rPr>
          <w:rFonts w:cs="Arial"/>
        </w:rPr>
      </w:pPr>
      <w:r w:rsidRPr="0041275E">
        <w:rPr>
          <w:color w:val="000000" w:themeColor="text1"/>
        </w:rPr>
        <w:t xml:space="preserve">This statement sets out how, and the extent to which, the Engagement Policy in the Statement of Investment Principles </w:t>
      </w:r>
      <w:r>
        <w:rPr>
          <w:color w:val="000000" w:themeColor="text1"/>
        </w:rPr>
        <w:t>(‘SIP’) produced by the Trustee Directors (‘the Trustees’) have</w:t>
      </w:r>
      <w:r w:rsidRPr="0041275E">
        <w:rPr>
          <w:color w:val="000000" w:themeColor="text1"/>
        </w:rPr>
        <w:t xml:space="preserve"> bee</w:t>
      </w:r>
      <w:r>
        <w:rPr>
          <w:color w:val="000000" w:themeColor="text1"/>
        </w:rPr>
        <w:t xml:space="preserve">n followed during the year running from </w:t>
      </w:r>
      <w:r w:rsidR="00560AC9">
        <w:rPr>
          <w:color w:val="000000" w:themeColor="text1"/>
        </w:rPr>
        <w:t xml:space="preserve">1 </w:t>
      </w:r>
      <w:r>
        <w:rPr>
          <w:color w:val="000000" w:themeColor="text1"/>
        </w:rPr>
        <w:t xml:space="preserve">April 2023 to </w:t>
      </w:r>
      <w:r w:rsidR="00560AC9">
        <w:rPr>
          <w:color w:val="000000" w:themeColor="text1"/>
        </w:rPr>
        <w:t>31</w:t>
      </w:r>
      <w:r w:rsidRPr="0041275E">
        <w:rPr>
          <w:color w:val="000000" w:themeColor="text1"/>
        </w:rPr>
        <w:t xml:space="preserve"> </w:t>
      </w:r>
      <w:r w:rsidR="00560AC9">
        <w:rPr>
          <w:color w:val="000000" w:themeColor="text1"/>
        </w:rPr>
        <w:t xml:space="preserve">March </w:t>
      </w:r>
      <w:r>
        <w:rPr>
          <w:color w:val="000000" w:themeColor="text1"/>
        </w:rPr>
        <w:t xml:space="preserve">2024 (the ‘Scheme Year’). </w:t>
      </w:r>
      <w:r w:rsidRPr="0018490F">
        <w:rPr>
          <w:rFonts w:cs="Arial"/>
        </w:rPr>
        <w:t xml:space="preserve">This statement has been produced in accordance with The Pension Protection Fund (Pensionable Service) and Occupational Pension Schemes (Investment and Disclosure) (Amendment and Modification) </w:t>
      </w:r>
      <w:r>
        <w:rPr>
          <w:rFonts w:cs="Arial"/>
        </w:rPr>
        <w:t xml:space="preserve">Regulations 2018, the subsequent amendment in The Occupational Pension Schemes (Investment and Disclosure) (Amendment) </w:t>
      </w:r>
      <w:r w:rsidRPr="0018490F">
        <w:rPr>
          <w:rFonts w:cs="Arial"/>
        </w:rPr>
        <w:t xml:space="preserve">Regulations </w:t>
      </w:r>
      <w:r>
        <w:rPr>
          <w:rFonts w:cs="Arial"/>
        </w:rPr>
        <w:t>2019 and the guidance published by the Pensions Regulator</w:t>
      </w:r>
      <w:r w:rsidRPr="0018490F">
        <w:rPr>
          <w:rFonts w:cs="Arial"/>
        </w:rPr>
        <w:t>.</w:t>
      </w:r>
    </w:p>
    <w:p w14:paraId="0E1B59EA" w14:textId="77777777" w:rsidR="00F94AC7" w:rsidRDefault="00F94AC7" w:rsidP="00F94AC7">
      <w:pPr>
        <w:ind w:left="706"/>
        <w:jc w:val="both"/>
        <w:rPr>
          <w:color w:val="000000" w:themeColor="text1"/>
        </w:rPr>
      </w:pPr>
      <w:r>
        <w:rPr>
          <w:color w:val="000000" w:themeColor="text1"/>
        </w:rPr>
        <w:t>This statement is based on, and should be read in conjunction with, the relevant version of the SIP that was in place for the Scheme Year, which was the SIP dated March 2023.</w:t>
      </w:r>
    </w:p>
    <w:p w14:paraId="4A5520FA" w14:textId="77777777" w:rsidR="00F94AC7" w:rsidRDefault="00F94AC7" w:rsidP="00F94AC7">
      <w:pPr>
        <w:ind w:left="706"/>
        <w:jc w:val="both"/>
        <w:rPr>
          <w:color w:val="000000" w:themeColor="text1"/>
        </w:rPr>
      </w:pPr>
      <w:r>
        <w:rPr>
          <w:color w:val="000000" w:themeColor="text1"/>
        </w:rPr>
        <w:t>Sections 2 and 3 of this statement set out the investment objectives of the Scheme and any review of the SIP made over the year, respectively.</w:t>
      </w:r>
    </w:p>
    <w:p w14:paraId="27EC6A82" w14:textId="3F36189B" w:rsidR="0003524A" w:rsidRPr="008F0C71" w:rsidRDefault="00F94AC7" w:rsidP="00F94AC7">
      <w:pPr>
        <w:ind w:left="706"/>
        <w:jc w:val="both"/>
        <w:rPr>
          <w:color w:val="000000" w:themeColor="text1"/>
        </w:rPr>
      </w:pPr>
      <w:r w:rsidRPr="00621FE6">
        <w:rPr>
          <w:color w:val="000000" w:themeColor="text1"/>
        </w:rPr>
        <w:t>Sections 4, 5 and 6 include information on the engagement activities of the underlying investment managers of the Scheme and sets out how the Scheme’s engagement policies</w:t>
      </w:r>
      <w:r>
        <w:rPr>
          <w:color w:val="000000" w:themeColor="text1"/>
        </w:rPr>
        <w:t xml:space="preserve"> have been followed during the Scheme Year. </w:t>
      </w:r>
      <w:r w:rsidRPr="00262584">
        <w:rPr>
          <w:b/>
          <w:bCs/>
          <w:color w:val="000000" w:themeColor="text1"/>
        </w:rPr>
        <w:t xml:space="preserve">The Trustees can confirm that all policies in the SIP </w:t>
      </w:r>
      <w:r>
        <w:rPr>
          <w:b/>
          <w:bCs/>
          <w:color w:val="000000" w:themeColor="text1"/>
        </w:rPr>
        <w:t xml:space="preserve">on engagement in relation to the Scheme’s assets </w:t>
      </w:r>
      <w:r w:rsidRPr="00262584">
        <w:rPr>
          <w:b/>
          <w:bCs/>
          <w:color w:val="000000" w:themeColor="text1"/>
        </w:rPr>
        <w:t>have been followed during the Scheme Year</w:t>
      </w:r>
      <w:r>
        <w:rPr>
          <w:b/>
          <w:bCs/>
          <w:color w:val="000000" w:themeColor="text1"/>
        </w:rPr>
        <w:t>.</w:t>
      </w:r>
    </w:p>
    <w:p w14:paraId="647623E8" w14:textId="3A131FCE" w:rsidR="00571A26" w:rsidRPr="00AC73C9" w:rsidRDefault="008F0C71" w:rsidP="00571A26">
      <w:pPr>
        <w:pStyle w:val="OutlineNum"/>
        <w:suppressLineNumbers/>
        <w:suppressAutoHyphens/>
        <w:ind w:left="706" w:hanging="706"/>
        <w:outlineLvl w:val="0"/>
        <w:rPr>
          <w:rFonts w:ascii="Arial" w:hAnsi="Arial" w:cs="Arial"/>
          <w:b/>
        </w:rPr>
      </w:pPr>
      <w:r>
        <w:rPr>
          <w:rFonts w:ascii="Arial" w:hAnsi="Arial" w:cs="Arial"/>
          <w:b/>
        </w:rPr>
        <w:t>Investment Objectives of the Scheme</w:t>
      </w:r>
    </w:p>
    <w:p w14:paraId="234C592B" w14:textId="7E4D9AC3" w:rsidR="00571A26" w:rsidRDefault="00F22C53" w:rsidP="00F22C53">
      <w:pPr>
        <w:ind w:left="706" w:firstLine="14"/>
        <w:jc w:val="both"/>
      </w:pPr>
      <w:r w:rsidRPr="00AC73C9">
        <w:rPr>
          <w:rFonts w:cs="Arial"/>
          <w:szCs w:val="22"/>
        </w:rPr>
        <w:t xml:space="preserve">The Trustees </w:t>
      </w:r>
      <w:r>
        <w:t>believe it is important to consider the policies in place in the context of the investment objectives they have set. The objectives of the Scheme included in the SIP are as follows:</w:t>
      </w:r>
    </w:p>
    <w:p w14:paraId="75C4B8E0" w14:textId="77777777" w:rsidR="00C50172" w:rsidRPr="00184424" w:rsidRDefault="00C50172" w:rsidP="00C50172">
      <w:pPr>
        <w:pStyle w:val="DashBullet4"/>
        <w:numPr>
          <w:ilvl w:val="0"/>
          <w:numId w:val="28"/>
        </w:numPr>
        <w:jc w:val="both"/>
        <w:rPr>
          <w:rFonts w:cs="Arial"/>
          <w:szCs w:val="22"/>
        </w:rPr>
      </w:pPr>
      <w:r>
        <w:rPr>
          <w:rFonts w:cs="Arial"/>
          <w:szCs w:val="22"/>
        </w:rPr>
        <w:t>Ultimately, to secure all liabilities through the purchase of a bulk annuity;</w:t>
      </w:r>
    </w:p>
    <w:p w14:paraId="54C48D30" w14:textId="3F74A1B9" w:rsidR="00C50172" w:rsidRPr="00C50172" w:rsidRDefault="00C50172" w:rsidP="009C0A20">
      <w:pPr>
        <w:pStyle w:val="DashBullet4"/>
        <w:numPr>
          <w:ilvl w:val="0"/>
          <w:numId w:val="28"/>
        </w:numPr>
        <w:jc w:val="both"/>
        <w:rPr>
          <w:rFonts w:cs="Arial"/>
          <w:szCs w:val="22"/>
        </w:rPr>
      </w:pPr>
      <w:r w:rsidRPr="00C50172">
        <w:rPr>
          <w:rFonts w:cs="Arial"/>
          <w:szCs w:val="22"/>
        </w:rPr>
        <w:t>To improve the financial position of the Scheme through investment returns, to the point where the first objective can be achieved within an appropriate timeframe without recourse to additional contributions;</w:t>
      </w:r>
    </w:p>
    <w:p w14:paraId="13694242" w14:textId="77777777" w:rsidR="00C50172" w:rsidRDefault="00C50172" w:rsidP="00C50172">
      <w:pPr>
        <w:pStyle w:val="DashBullet4"/>
        <w:numPr>
          <w:ilvl w:val="0"/>
          <w:numId w:val="28"/>
        </w:numPr>
        <w:jc w:val="both"/>
        <w:rPr>
          <w:rFonts w:cs="Arial"/>
          <w:szCs w:val="22"/>
        </w:rPr>
      </w:pPr>
      <w:r w:rsidRPr="002B1368">
        <w:rPr>
          <w:rFonts w:cs="Arial"/>
          <w:szCs w:val="22"/>
        </w:rPr>
        <w:t>To</w:t>
      </w:r>
      <w:r>
        <w:rPr>
          <w:rFonts w:cs="Arial"/>
          <w:szCs w:val="22"/>
        </w:rPr>
        <w:t xml:space="preserve"> limit the amount of investment risk that is being run to the level that is considered necessary in order to achieve the level of investment return that is required, and to do this </w:t>
      </w:r>
      <w:r w:rsidRPr="002B1368">
        <w:rPr>
          <w:rFonts w:cs="Arial"/>
          <w:szCs w:val="22"/>
        </w:rPr>
        <w:t>through gradual de</w:t>
      </w:r>
      <w:r>
        <w:rPr>
          <w:rFonts w:cs="Arial"/>
          <w:szCs w:val="22"/>
        </w:rPr>
        <w:t>-</w:t>
      </w:r>
      <w:r w:rsidRPr="002B1368">
        <w:rPr>
          <w:rFonts w:cs="Arial"/>
          <w:szCs w:val="22"/>
        </w:rPr>
        <w:t xml:space="preserve">risking of the assets </w:t>
      </w:r>
      <w:r>
        <w:rPr>
          <w:rFonts w:cs="Arial"/>
          <w:szCs w:val="22"/>
        </w:rPr>
        <w:t>when the funding position permits it.</w:t>
      </w:r>
    </w:p>
    <w:p w14:paraId="3A6148A9" w14:textId="77777777" w:rsidR="00426108" w:rsidRDefault="00426108" w:rsidP="00426108">
      <w:pPr>
        <w:pStyle w:val="DashBullet4"/>
        <w:numPr>
          <w:ilvl w:val="0"/>
          <w:numId w:val="0"/>
        </w:numPr>
        <w:ind w:left="720"/>
        <w:jc w:val="both"/>
        <w:rPr>
          <w:rFonts w:cs="Arial"/>
          <w:szCs w:val="22"/>
        </w:rPr>
      </w:pPr>
      <w:r>
        <w:rPr>
          <w:rFonts w:cs="Arial"/>
          <w:szCs w:val="22"/>
        </w:rPr>
        <w:t>Given the nature of the liabilities, the investment horizon of the Scheme is potentially long-term (i.e. several decades), although opportunities for risk transfer (e.g. by purchase of bulk annuities) could reduce the time horizon materially. The Trustees have not set a formal target for risk transfer but anticipate that it may already be affordable.</w:t>
      </w:r>
    </w:p>
    <w:p w14:paraId="1ED3C901" w14:textId="432D59D5" w:rsidR="00426108" w:rsidRPr="00D96A97" w:rsidRDefault="00426108" w:rsidP="00426108">
      <w:pPr>
        <w:pStyle w:val="DashBullet4"/>
        <w:numPr>
          <w:ilvl w:val="0"/>
          <w:numId w:val="0"/>
        </w:numPr>
        <w:ind w:left="720"/>
        <w:jc w:val="both"/>
        <w:rPr>
          <w:rFonts w:cs="Arial"/>
          <w:szCs w:val="22"/>
        </w:rPr>
      </w:pPr>
      <w:r>
        <w:rPr>
          <w:rFonts w:cs="Arial"/>
          <w:szCs w:val="22"/>
        </w:rPr>
        <w:t>In setting these objectives the Trustees have taken into account the Sponsor’s ability to make contribution payments and attitude towards the size and incidence of these payments, and have taken into account the corridor agreement which specifies actions to be taken in the event that the funding level of the Scheme falls below 90% or exceeds 110% on a technical provisions basis.</w:t>
      </w:r>
    </w:p>
    <w:p w14:paraId="62B2330E" w14:textId="24FC89B8" w:rsidR="0003524A" w:rsidRPr="00EB287C" w:rsidRDefault="0003524A" w:rsidP="00EB287C">
      <w:pPr>
        <w:pStyle w:val="OutlineNum"/>
        <w:suppressLineNumbers/>
        <w:suppressAutoHyphens/>
        <w:ind w:left="706" w:hanging="706"/>
        <w:outlineLvl w:val="0"/>
        <w:rPr>
          <w:rFonts w:ascii="Arial" w:hAnsi="Arial" w:cs="Arial"/>
          <w:b/>
        </w:rPr>
      </w:pPr>
      <w:r>
        <w:rPr>
          <w:rFonts w:ascii="Arial" w:hAnsi="Arial" w:cs="Arial"/>
          <w:b/>
        </w:rPr>
        <w:lastRenderedPageBreak/>
        <w:t>Review of the SIP</w:t>
      </w:r>
    </w:p>
    <w:p w14:paraId="6E16443E" w14:textId="347CCCCE" w:rsidR="00CF6304" w:rsidRDefault="00CF6304" w:rsidP="00CF6304">
      <w:pPr>
        <w:ind w:left="706" w:firstLine="14"/>
        <w:jc w:val="both"/>
      </w:pPr>
      <w:r>
        <w:rPr>
          <w:rFonts w:cs="Arial"/>
        </w:rPr>
        <w:t xml:space="preserve">The Trustees have not updated the SIP during the Scheme Year. </w:t>
      </w:r>
      <w:r w:rsidRPr="004B43A1">
        <w:rPr>
          <w:rFonts w:cs="Arial"/>
        </w:rPr>
        <w:t xml:space="preserve">The Trustees </w:t>
      </w:r>
      <w:r>
        <w:rPr>
          <w:rFonts w:cs="Arial"/>
        </w:rPr>
        <w:t xml:space="preserve">last </w:t>
      </w:r>
      <w:r w:rsidRPr="004B43A1">
        <w:rPr>
          <w:rFonts w:cs="Arial"/>
        </w:rPr>
        <w:t xml:space="preserve">reviewed the SIP in </w:t>
      </w:r>
      <w:r>
        <w:rPr>
          <w:rFonts w:cs="Arial"/>
        </w:rPr>
        <w:t>March 2023</w:t>
      </w:r>
      <w:r w:rsidRPr="004B43A1">
        <w:rPr>
          <w:rFonts w:cs="Arial"/>
        </w:rPr>
        <w:t xml:space="preserve"> </w:t>
      </w:r>
      <w:r w:rsidRPr="00173F14">
        <w:rPr>
          <w:szCs w:val="22"/>
        </w:rPr>
        <w:t xml:space="preserve">to reflect </w:t>
      </w:r>
      <w:r>
        <w:rPr>
          <w:szCs w:val="22"/>
        </w:rPr>
        <w:t xml:space="preserve">changes to the </w:t>
      </w:r>
      <w:r w:rsidRPr="002C37AB">
        <w:t xml:space="preserve">investment strategy </w:t>
      </w:r>
      <w:r>
        <w:rPr>
          <w:szCs w:val="22"/>
        </w:rPr>
        <w:t>given de-risking activity</w:t>
      </w:r>
      <w:r w:rsidRPr="002C37AB">
        <w:t xml:space="preserve"> that </w:t>
      </w:r>
      <w:r>
        <w:rPr>
          <w:szCs w:val="22"/>
        </w:rPr>
        <w:t>took place in the previous year</w:t>
      </w:r>
      <w:r w:rsidRPr="00173F14">
        <w:rPr>
          <w:szCs w:val="22"/>
        </w:rPr>
        <w:t xml:space="preserve">. A copy of the SIP is available </w:t>
      </w:r>
      <w:r>
        <w:rPr>
          <w:szCs w:val="22"/>
        </w:rPr>
        <w:t>on request and also available on</w:t>
      </w:r>
      <w:r w:rsidRPr="002C37AB">
        <w:t xml:space="preserve"> </w:t>
      </w:r>
      <w:r>
        <w:t>the following website:</w:t>
      </w:r>
    </w:p>
    <w:p w14:paraId="503FFCB4" w14:textId="726E51D2" w:rsidR="0003524A" w:rsidRDefault="00780520" w:rsidP="004C400D">
      <w:pPr>
        <w:ind w:left="706" w:firstLine="14"/>
        <w:jc w:val="both"/>
      </w:pPr>
      <w:hyperlink r:id="rId11" w:history="1">
        <w:r w:rsidR="00831A01" w:rsidRPr="00117C34">
          <w:rPr>
            <w:rStyle w:val="Hyperlink"/>
          </w:rPr>
          <w:t>https://www.marloweholdings.co.uk/wp-content/uploads/2023/04/Amari_SIP-March-2023-Online-Version.pdf</w:t>
        </w:r>
      </w:hyperlink>
    </w:p>
    <w:p w14:paraId="2932B3EF" w14:textId="5C6D3EB9" w:rsidR="00571A26" w:rsidRDefault="008F0C71" w:rsidP="00571A26">
      <w:pPr>
        <w:pStyle w:val="OutlineNum"/>
        <w:suppressLineNumbers/>
        <w:suppressAutoHyphens/>
        <w:ind w:left="706" w:hanging="706"/>
        <w:outlineLvl w:val="0"/>
        <w:rPr>
          <w:rFonts w:ascii="Arial" w:hAnsi="Arial" w:cs="Arial"/>
          <w:b/>
        </w:rPr>
      </w:pPr>
      <w:r>
        <w:rPr>
          <w:rFonts w:ascii="Arial" w:hAnsi="Arial" w:cs="Arial"/>
          <w:b/>
        </w:rPr>
        <w:t>Policy on ESG, Stewardship and Climate Change</w:t>
      </w:r>
    </w:p>
    <w:p w14:paraId="7B67BF5F" w14:textId="642E8C7C" w:rsidR="004A534D" w:rsidRDefault="004A534D" w:rsidP="004A534D">
      <w:pPr>
        <w:ind w:left="706" w:firstLine="14"/>
        <w:jc w:val="both"/>
        <w:rPr>
          <w:color w:val="000000" w:themeColor="text1"/>
        </w:rPr>
      </w:pPr>
      <w:r w:rsidRPr="0041275E">
        <w:rPr>
          <w:color w:val="000000" w:themeColor="text1"/>
        </w:rPr>
        <w:t>The Schem</w:t>
      </w:r>
      <w:r>
        <w:rPr>
          <w:color w:val="000000" w:themeColor="text1"/>
        </w:rPr>
        <w:t>e’s SIP includes the Trustees’</w:t>
      </w:r>
      <w:r w:rsidRPr="0041275E">
        <w:rPr>
          <w:color w:val="000000" w:themeColor="text1"/>
        </w:rPr>
        <w:t xml:space="preserve"> policy on Environmental, Social and Governance (‘ESG’) factors, s</w:t>
      </w:r>
      <w:r>
        <w:rPr>
          <w:color w:val="000000" w:themeColor="text1"/>
        </w:rPr>
        <w:t xml:space="preserve">tewardship and Climate Change. </w:t>
      </w:r>
      <w:r w:rsidRPr="0041275E">
        <w:rPr>
          <w:color w:val="000000" w:themeColor="text1"/>
        </w:rPr>
        <w:t>Thi</w:t>
      </w:r>
      <w:r>
        <w:rPr>
          <w:color w:val="000000" w:themeColor="text1"/>
        </w:rPr>
        <w:t>s policy sets out the Trustees’</w:t>
      </w:r>
      <w:r w:rsidRPr="0041275E">
        <w:rPr>
          <w:color w:val="000000" w:themeColor="text1"/>
        </w:rPr>
        <w:t xml:space="preserve"> beliefs on ESG and climate change and the pr</w:t>
      </w:r>
      <w:r>
        <w:rPr>
          <w:color w:val="000000" w:themeColor="text1"/>
        </w:rPr>
        <w:t>ocesses followed by the Trustees</w:t>
      </w:r>
      <w:r w:rsidRPr="0041275E">
        <w:rPr>
          <w:color w:val="000000" w:themeColor="text1"/>
        </w:rPr>
        <w:t xml:space="preserve"> in relation to</w:t>
      </w:r>
      <w:r>
        <w:rPr>
          <w:color w:val="000000" w:themeColor="text1"/>
        </w:rPr>
        <w:t xml:space="preserve"> voting rights and stewardship.</w:t>
      </w:r>
      <w:r w:rsidRPr="0041275E">
        <w:rPr>
          <w:color w:val="000000" w:themeColor="text1"/>
        </w:rPr>
        <w:t xml:space="preserve"> </w:t>
      </w:r>
    </w:p>
    <w:p w14:paraId="562599B8" w14:textId="77777777" w:rsidR="004A534D" w:rsidRPr="0041275E" w:rsidRDefault="004A534D" w:rsidP="004A534D">
      <w:pPr>
        <w:ind w:left="706" w:firstLine="14"/>
        <w:jc w:val="both"/>
        <w:rPr>
          <w:color w:val="000000" w:themeColor="text1"/>
        </w:rPr>
      </w:pPr>
      <w:r w:rsidRPr="0041275E">
        <w:rPr>
          <w:color w:val="000000" w:themeColor="text1"/>
        </w:rPr>
        <w:t>In order to estab</w:t>
      </w:r>
      <w:r w:rsidRPr="005F0E30">
        <w:rPr>
          <w:color w:val="000000" w:themeColor="text1"/>
        </w:rPr>
        <w:t>lish these beliefs and produce this policy, the Trustees undertook investment training provided by their investment consultant on responsible investment which covered ESG factors, stewardship, climate</w:t>
      </w:r>
      <w:r>
        <w:rPr>
          <w:color w:val="000000" w:themeColor="text1"/>
        </w:rPr>
        <w:t xml:space="preserve"> change and ethical investing. </w:t>
      </w:r>
      <w:r w:rsidRPr="005F0E30">
        <w:rPr>
          <w:color w:val="000000" w:themeColor="text1"/>
        </w:rPr>
        <w:t xml:space="preserve">This </w:t>
      </w:r>
      <w:r>
        <w:rPr>
          <w:color w:val="000000" w:themeColor="text1"/>
        </w:rPr>
        <w:t xml:space="preserve">formal </w:t>
      </w:r>
      <w:r w:rsidRPr="005F0E30">
        <w:rPr>
          <w:color w:val="000000" w:themeColor="text1"/>
        </w:rPr>
        <w:t>training was provided in 2019. In</w:t>
      </w:r>
      <w:r>
        <w:rPr>
          <w:color w:val="000000" w:themeColor="text1"/>
        </w:rPr>
        <w:t xml:space="preserve"> addition an Investment Subcommittee receives regular updates on current investment topics and over the course of the year this included updates on ESG related issues. The Trustees keep</w:t>
      </w:r>
      <w:r w:rsidRPr="0041275E">
        <w:rPr>
          <w:color w:val="000000" w:themeColor="text1"/>
        </w:rPr>
        <w:t xml:space="preserve"> their policies under regular review.</w:t>
      </w:r>
    </w:p>
    <w:p w14:paraId="0A23BA86" w14:textId="3B0548C9" w:rsidR="008F0C71" w:rsidRDefault="004A534D" w:rsidP="004A534D">
      <w:pPr>
        <w:ind w:left="706" w:firstLine="14"/>
        <w:jc w:val="both"/>
        <w:rPr>
          <w:color w:val="000000" w:themeColor="text1"/>
        </w:rPr>
      </w:pPr>
      <w:r>
        <w:rPr>
          <w:color w:val="000000" w:themeColor="text1"/>
        </w:rPr>
        <w:t>The Trustees are satisfied that their engagement policy was followed during the year. The following summarises how the Trustees’ engagement and voting policies were followed and implemented during the year accordingly.</w:t>
      </w:r>
    </w:p>
    <w:p w14:paraId="228326A5" w14:textId="67961557" w:rsidR="0056555C" w:rsidRDefault="003855A2" w:rsidP="0065781E">
      <w:pPr>
        <w:pStyle w:val="OutlineNum"/>
        <w:suppressLineNumbers/>
        <w:suppressAutoHyphens/>
        <w:ind w:left="706" w:hanging="706"/>
        <w:outlineLvl w:val="0"/>
        <w:rPr>
          <w:rFonts w:ascii="Arial" w:hAnsi="Arial" w:cs="Arial"/>
          <w:b/>
        </w:rPr>
      </w:pPr>
      <w:r w:rsidRPr="0065781E">
        <w:rPr>
          <w:rFonts w:ascii="Arial" w:hAnsi="Arial" w:cs="Arial"/>
          <w:b/>
        </w:rPr>
        <w:t>Engagement</w:t>
      </w:r>
    </w:p>
    <w:p w14:paraId="1E5DBD7B" w14:textId="27A34C79" w:rsidR="00F35DE7" w:rsidRPr="0003524A" w:rsidRDefault="00F35DE7" w:rsidP="00F35DE7">
      <w:pPr>
        <w:pStyle w:val="OutlineNum"/>
        <w:numPr>
          <w:ilvl w:val="0"/>
          <w:numId w:val="0"/>
        </w:numPr>
        <w:ind w:left="720" w:hanging="14"/>
        <w:jc w:val="both"/>
        <w:rPr>
          <w:rFonts w:ascii="Arial" w:hAnsi="Arial"/>
          <w:color w:val="000000" w:themeColor="text1"/>
          <w:szCs w:val="20"/>
        </w:rPr>
      </w:pPr>
      <w:r w:rsidRPr="0003524A">
        <w:rPr>
          <w:rFonts w:ascii="Arial" w:hAnsi="Arial"/>
          <w:color w:val="000000" w:themeColor="text1"/>
          <w:szCs w:val="20"/>
        </w:rPr>
        <w:t xml:space="preserve">As set out in the SIP, as part of the Trustees’ ongoing review of their investment managers, they will review how ESG, climate change and stewardship are integrated </w:t>
      </w:r>
      <w:r w:rsidRPr="00621FE6">
        <w:rPr>
          <w:rFonts w:ascii="Arial" w:hAnsi="Arial"/>
          <w:color w:val="000000" w:themeColor="text1"/>
          <w:szCs w:val="20"/>
        </w:rPr>
        <w:t>within the investment managers’ investment processes and in the monitoring process. The investment managers are expected to provide reporting on a regular basis, at least annually, on ESG</w:t>
      </w:r>
      <w:r w:rsidRPr="0003524A">
        <w:rPr>
          <w:rFonts w:ascii="Arial" w:hAnsi="Arial"/>
          <w:color w:val="000000" w:themeColor="text1"/>
          <w:szCs w:val="20"/>
        </w:rPr>
        <w:t xml:space="preserve"> integration progress, stewardship monitoring results, and climate-related metrics. The Trustees will consider the ESG policies of any potential new manager as part of the selection process.</w:t>
      </w:r>
    </w:p>
    <w:p w14:paraId="10619878" w14:textId="1171AC3C" w:rsidR="003F37A3" w:rsidRPr="00C603DE" w:rsidRDefault="00C603DE" w:rsidP="00C603DE">
      <w:pPr>
        <w:pStyle w:val="ListParagraph"/>
        <w:numPr>
          <w:ilvl w:val="0"/>
          <w:numId w:val="29"/>
        </w:numPr>
        <w:spacing w:after="160" w:line="259" w:lineRule="auto"/>
        <w:jc w:val="both"/>
        <w:rPr>
          <w:rFonts w:ascii="Arial" w:hAnsi="Arial"/>
          <w:color w:val="000000" w:themeColor="text1"/>
          <w:lang w:val="en-GB" w:eastAsia="en-GB"/>
        </w:rPr>
      </w:pPr>
      <w:r>
        <w:rPr>
          <w:rFonts w:ascii="Arial" w:hAnsi="Arial"/>
          <w:color w:val="000000" w:themeColor="text1"/>
          <w:lang w:val="en-GB" w:eastAsia="en-GB"/>
        </w:rPr>
        <w:t xml:space="preserve">An </w:t>
      </w:r>
      <w:r w:rsidRPr="00A53FF9">
        <w:rPr>
          <w:rFonts w:ascii="Arial" w:hAnsi="Arial"/>
          <w:color w:val="000000" w:themeColor="text1"/>
          <w:lang w:val="en-GB" w:eastAsia="en-GB"/>
        </w:rPr>
        <w:t xml:space="preserve">investment performance report </w:t>
      </w:r>
      <w:r>
        <w:rPr>
          <w:rFonts w:ascii="Arial" w:hAnsi="Arial"/>
          <w:color w:val="000000" w:themeColor="text1"/>
          <w:lang w:val="en-GB" w:eastAsia="en-GB"/>
        </w:rPr>
        <w:t>wa</w:t>
      </w:r>
      <w:r w:rsidRPr="00A53FF9">
        <w:rPr>
          <w:rFonts w:ascii="Arial" w:hAnsi="Arial"/>
          <w:color w:val="000000" w:themeColor="text1"/>
          <w:lang w:val="en-GB" w:eastAsia="en-GB"/>
        </w:rPr>
        <w:t>s reviewed by the Trustees on a quarterly basis – this include</w:t>
      </w:r>
      <w:r>
        <w:rPr>
          <w:rFonts w:ascii="Arial" w:hAnsi="Arial"/>
          <w:color w:val="000000" w:themeColor="text1"/>
          <w:lang w:val="en-GB" w:eastAsia="en-GB"/>
        </w:rPr>
        <w:t>d</w:t>
      </w:r>
      <w:r w:rsidRPr="00A53FF9">
        <w:rPr>
          <w:rFonts w:ascii="Arial" w:hAnsi="Arial"/>
          <w:color w:val="000000" w:themeColor="text1"/>
          <w:lang w:val="en-GB" w:eastAsia="en-GB"/>
        </w:rPr>
        <w:t xml:space="preserve"> ratings (both general and specific ESG)</w:t>
      </w:r>
      <w:r>
        <w:rPr>
          <w:rFonts w:ascii="Arial" w:hAnsi="Arial"/>
          <w:color w:val="000000" w:themeColor="text1"/>
          <w:lang w:val="en-GB" w:eastAsia="en-GB"/>
        </w:rPr>
        <w:t xml:space="preserve"> from the investment advisers. </w:t>
      </w:r>
      <w:r w:rsidRPr="00A53FF9">
        <w:rPr>
          <w:rFonts w:ascii="Arial" w:hAnsi="Arial"/>
          <w:color w:val="000000" w:themeColor="text1"/>
          <w:lang w:val="en-GB" w:eastAsia="en-GB"/>
        </w:rPr>
        <w:t>The investment performance report includes how each investment manager is delivering against their specific mandates.</w:t>
      </w:r>
    </w:p>
    <w:p w14:paraId="620A1F38" w14:textId="77777777" w:rsidR="00DD216C" w:rsidRPr="003F37A3" w:rsidRDefault="00DD216C" w:rsidP="0003524A">
      <w:pPr>
        <w:pStyle w:val="ListParagraph"/>
        <w:spacing w:after="160" w:line="259" w:lineRule="auto"/>
        <w:jc w:val="both"/>
        <w:rPr>
          <w:rFonts w:ascii="Arial" w:hAnsi="Arial"/>
          <w:color w:val="000000" w:themeColor="text1"/>
          <w:lang w:val="en-GB" w:eastAsia="en-GB"/>
        </w:rPr>
      </w:pPr>
    </w:p>
    <w:p w14:paraId="671808C0" w14:textId="6E158F5C" w:rsidR="00CF75DF" w:rsidRPr="009F3B85" w:rsidRDefault="009F3B85" w:rsidP="009F3B85">
      <w:pPr>
        <w:pStyle w:val="ListParagraph"/>
        <w:numPr>
          <w:ilvl w:val="0"/>
          <w:numId w:val="29"/>
        </w:numPr>
        <w:spacing w:after="160" w:line="259" w:lineRule="auto"/>
        <w:jc w:val="both"/>
        <w:rPr>
          <w:rFonts w:ascii="Arial" w:hAnsi="Arial"/>
          <w:color w:val="000000" w:themeColor="text1"/>
          <w:lang w:val="en-GB" w:eastAsia="en-GB"/>
        </w:rPr>
      </w:pPr>
      <w:r w:rsidRPr="00514436">
        <w:rPr>
          <w:rFonts w:ascii="Arial" w:hAnsi="Arial"/>
          <w:color w:val="000000" w:themeColor="text1"/>
          <w:lang w:val="en-GB" w:eastAsia="en-GB"/>
        </w:rPr>
        <w:t>The Trustees also received details of relevant engagement activity for the year from</w:t>
      </w:r>
      <w:r>
        <w:rPr>
          <w:rFonts w:ascii="Arial" w:hAnsi="Arial"/>
          <w:color w:val="000000" w:themeColor="text1"/>
          <w:lang w:val="en-GB" w:eastAsia="en-GB"/>
        </w:rPr>
        <w:t xml:space="preserve"> </w:t>
      </w:r>
      <w:r w:rsidRPr="003F37A3">
        <w:rPr>
          <w:rFonts w:ascii="Arial" w:hAnsi="Arial"/>
          <w:color w:val="000000" w:themeColor="text1"/>
          <w:lang w:val="en-GB" w:eastAsia="en-GB"/>
        </w:rPr>
        <w:t>the Scheme’s investment managers</w:t>
      </w:r>
      <w:r>
        <w:rPr>
          <w:rFonts w:ascii="Arial" w:hAnsi="Arial"/>
          <w:color w:val="000000" w:themeColor="text1"/>
          <w:lang w:val="en-GB" w:eastAsia="en-GB"/>
        </w:rPr>
        <w:t xml:space="preserve">, directly or via their investment adviser, as part of regular reporting and presentations. </w:t>
      </w:r>
    </w:p>
    <w:p w14:paraId="522261B5" w14:textId="77777777" w:rsidR="0003524A" w:rsidRPr="0003524A" w:rsidRDefault="0003524A" w:rsidP="0003524A">
      <w:pPr>
        <w:pStyle w:val="ListParagraph"/>
        <w:jc w:val="both"/>
        <w:rPr>
          <w:rFonts w:ascii="Arial" w:hAnsi="Arial"/>
          <w:color w:val="000000" w:themeColor="text1"/>
          <w:lang w:val="en-GB" w:eastAsia="en-GB"/>
        </w:rPr>
      </w:pPr>
    </w:p>
    <w:p w14:paraId="50396A17" w14:textId="390DE2B7" w:rsidR="00EB287C" w:rsidRPr="00BF30A6" w:rsidRDefault="00BF30A6" w:rsidP="00BF30A6">
      <w:pPr>
        <w:pStyle w:val="ListParagraph"/>
        <w:numPr>
          <w:ilvl w:val="0"/>
          <w:numId w:val="48"/>
        </w:numPr>
        <w:spacing w:before="120" w:after="160" w:line="259" w:lineRule="auto"/>
        <w:jc w:val="both"/>
        <w:rPr>
          <w:rFonts w:ascii="Arial" w:hAnsi="Arial"/>
          <w:color w:val="000000" w:themeColor="text1"/>
          <w:lang w:val="en-GB" w:eastAsia="en-GB"/>
        </w:rPr>
      </w:pPr>
      <w:r>
        <w:rPr>
          <w:rFonts w:ascii="Arial" w:hAnsi="Arial"/>
          <w:color w:val="000000" w:themeColor="text1"/>
          <w:lang w:val="en-GB" w:eastAsia="en-GB"/>
        </w:rPr>
        <w:t>T</w:t>
      </w:r>
      <w:r w:rsidRPr="00EB287C">
        <w:rPr>
          <w:rFonts w:ascii="Arial" w:hAnsi="Arial"/>
          <w:color w:val="000000" w:themeColor="text1"/>
          <w:lang w:val="en-GB" w:eastAsia="en-GB"/>
        </w:rPr>
        <w:t>he Scheme’s</w:t>
      </w:r>
      <w:r>
        <w:rPr>
          <w:rFonts w:ascii="Arial" w:hAnsi="Arial"/>
          <w:color w:val="000000" w:themeColor="text1"/>
          <w:lang w:val="en-GB" w:eastAsia="en-GB"/>
        </w:rPr>
        <w:t xml:space="preserve"> corporate bond</w:t>
      </w:r>
      <w:r w:rsidRPr="00EB287C">
        <w:rPr>
          <w:rFonts w:ascii="Arial" w:hAnsi="Arial"/>
          <w:color w:val="000000" w:themeColor="text1"/>
          <w:lang w:val="en-GB" w:eastAsia="en-GB"/>
        </w:rPr>
        <w:t xml:space="preserve"> manager</w:t>
      </w:r>
      <w:r>
        <w:rPr>
          <w:rFonts w:ascii="Arial" w:hAnsi="Arial"/>
          <w:color w:val="000000" w:themeColor="text1"/>
          <w:lang w:val="en-GB" w:eastAsia="en-GB"/>
        </w:rPr>
        <w:t xml:space="preserve"> (RLAM)</w:t>
      </w:r>
      <w:r w:rsidRPr="00EB287C">
        <w:rPr>
          <w:rFonts w:ascii="Arial" w:hAnsi="Arial"/>
          <w:color w:val="000000" w:themeColor="text1"/>
          <w:lang w:val="en-GB" w:eastAsia="en-GB"/>
        </w:rPr>
        <w:t xml:space="preserve"> engaged with companies</w:t>
      </w:r>
      <w:r>
        <w:rPr>
          <w:rFonts w:ascii="Arial" w:hAnsi="Arial"/>
          <w:color w:val="000000" w:themeColor="text1"/>
          <w:lang w:val="en-GB" w:eastAsia="en-GB"/>
        </w:rPr>
        <w:t>, where applicable,</w:t>
      </w:r>
      <w:r w:rsidRPr="00EB287C">
        <w:rPr>
          <w:rFonts w:ascii="Arial" w:hAnsi="Arial"/>
          <w:color w:val="000000" w:themeColor="text1"/>
          <w:lang w:val="en-GB" w:eastAsia="en-GB"/>
        </w:rPr>
        <w:t xml:space="preserve"> over the </w:t>
      </w:r>
      <w:r>
        <w:rPr>
          <w:rFonts w:ascii="Arial" w:hAnsi="Arial"/>
          <w:color w:val="000000" w:themeColor="text1"/>
          <w:lang w:val="en-GB" w:eastAsia="en-GB"/>
        </w:rPr>
        <w:t xml:space="preserve">Scheme Year </w:t>
      </w:r>
      <w:r w:rsidRPr="00EB287C">
        <w:rPr>
          <w:rFonts w:ascii="Arial" w:hAnsi="Arial"/>
          <w:color w:val="000000" w:themeColor="text1"/>
          <w:lang w:val="en-GB" w:eastAsia="en-GB"/>
        </w:rPr>
        <w:t xml:space="preserve">on a wide range of different issues, including ESG matters. This included engaging with companies on climate change to ensure that companies were making progress in this area and better aligning themselves with the </w:t>
      </w:r>
      <w:r w:rsidRPr="00EB287C">
        <w:rPr>
          <w:rFonts w:ascii="Arial" w:hAnsi="Arial"/>
          <w:color w:val="000000" w:themeColor="text1"/>
          <w:lang w:val="en-GB" w:eastAsia="en-GB"/>
        </w:rPr>
        <w:lastRenderedPageBreak/>
        <w:t xml:space="preserve">wider objectives on climate change in the economy. </w:t>
      </w:r>
      <w:r>
        <w:rPr>
          <w:rFonts w:ascii="Arial" w:hAnsi="Arial"/>
          <w:color w:val="000000" w:themeColor="text1"/>
          <w:lang w:val="en-GB" w:eastAsia="en-GB"/>
        </w:rPr>
        <w:t xml:space="preserve">RLAM </w:t>
      </w:r>
      <w:r w:rsidRPr="00EB287C">
        <w:rPr>
          <w:rFonts w:ascii="Arial" w:hAnsi="Arial"/>
          <w:color w:val="000000" w:themeColor="text1"/>
          <w:lang w:val="en-GB" w:eastAsia="en-GB"/>
        </w:rPr>
        <w:t>provided examples of instances where they had engaged with companies they were invested in or about to invest in which resulted in a positive outcome. These engagement initiatives are driven mainly through regular engagement meetings</w:t>
      </w:r>
      <w:r>
        <w:rPr>
          <w:rFonts w:ascii="Arial" w:hAnsi="Arial"/>
          <w:color w:val="000000" w:themeColor="text1"/>
          <w:lang w:val="en-GB" w:eastAsia="en-GB"/>
        </w:rPr>
        <w:t>.</w:t>
      </w:r>
      <w:r w:rsidRPr="00EB287C">
        <w:rPr>
          <w:rFonts w:ascii="Arial" w:hAnsi="Arial"/>
          <w:color w:val="000000" w:themeColor="text1"/>
          <w:lang w:val="en-GB" w:eastAsia="en-GB"/>
        </w:rPr>
        <w:t xml:space="preserve">  </w:t>
      </w:r>
    </w:p>
    <w:p w14:paraId="4213189D" w14:textId="00828AD6" w:rsidR="00571A26" w:rsidRDefault="00BF30A6" w:rsidP="00F90C43">
      <w:pPr>
        <w:pStyle w:val="OutlineNum"/>
        <w:rPr>
          <w:rFonts w:ascii="Arial" w:hAnsi="Arial" w:cs="Arial"/>
          <w:b/>
        </w:rPr>
      </w:pPr>
      <w:r>
        <w:rPr>
          <w:rFonts w:ascii="Arial" w:hAnsi="Arial" w:cs="Arial"/>
          <w:b/>
        </w:rPr>
        <w:t xml:space="preserve">Engagement </w:t>
      </w:r>
      <w:r w:rsidR="008F0C71" w:rsidRPr="007D7A94">
        <w:rPr>
          <w:rFonts w:ascii="Arial" w:hAnsi="Arial" w:cs="Arial"/>
          <w:b/>
        </w:rPr>
        <w:t>Activity</w:t>
      </w:r>
    </w:p>
    <w:p w14:paraId="526F0965" w14:textId="77777777" w:rsidR="00EA2565" w:rsidRDefault="00EA2565" w:rsidP="00EA2565">
      <w:pPr>
        <w:pStyle w:val="OutlineNum2"/>
        <w:numPr>
          <w:ilvl w:val="0"/>
          <w:numId w:val="0"/>
        </w:numPr>
        <w:ind w:left="720"/>
        <w:jc w:val="both"/>
      </w:pPr>
      <w:r>
        <w:t>The assets held by the Scheme during the Scheme Year comprise gilts and corporate bonds. Since these instruments do not typically have voting rights attached, voting activity is not applicable and the investment managers have not exercised voting rights over the Scheme Year as part of their asset management duties.</w:t>
      </w:r>
    </w:p>
    <w:p w14:paraId="08C84714" w14:textId="77777777" w:rsidR="00EA2565" w:rsidRDefault="00EA2565" w:rsidP="00EA2565">
      <w:pPr>
        <w:pStyle w:val="OutlineNum2"/>
        <w:numPr>
          <w:ilvl w:val="0"/>
          <w:numId w:val="0"/>
        </w:numPr>
        <w:ind w:left="720"/>
        <w:jc w:val="both"/>
      </w:pPr>
      <w:r>
        <w:t>The Trustees do not hold investments directly and have therefore, effectively, delegated engagement to the pooled fund investment managers, where applicable.</w:t>
      </w:r>
    </w:p>
    <w:p w14:paraId="065B8683" w14:textId="77777777" w:rsidR="00EA2565" w:rsidRDefault="00EA2565" w:rsidP="00EA2565">
      <w:pPr>
        <w:pStyle w:val="OutlineNum2"/>
        <w:numPr>
          <w:ilvl w:val="0"/>
          <w:numId w:val="0"/>
        </w:numPr>
        <w:ind w:left="720"/>
        <w:jc w:val="both"/>
      </w:pPr>
      <w:r>
        <w:t>Engagement initiatives are driven by investment managers mainly through regular engagement meetings with the companies in which they invest.</w:t>
      </w:r>
    </w:p>
    <w:p w14:paraId="00440492" w14:textId="77777777" w:rsidR="00EA2565" w:rsidRPr="00184424" w:rsidRDefault="00EA2565" w:rsidP="00EA2565">
      <w:pPr>
        <w:pStyle w:val="ListBullet3"/>
        <w:numPr>
          <w:ilvl w:val="0"/>
          <w:numId w:val="0"/>
        </w:numPr>
        <w:ind w:left="360" w:firstLine="360"/>
      </w:pPr>
      <w:r w:rsidRPr="00EF5FB5">
        <w:t xml:space="preserve">The </w:t>
      </w:r>
      <w:r>
        <w:t xml:space="preserve">engagement </w:t>
      </w:r>
      <w:r w:rsidRPr="00EF5FB5">
        <w:t xml:space="preserve">activities of the </w:t>
      </w:r>
      <w:r>
        <w:t xml:space="preserve">investment </w:t>
      </w:r>
      <w:r w:rsidRPr="00EF5FB5">
        <w:t>managers are set out below</w:t>
      </w:r>
      <w:r>
        <w:t>:</w:t>
      </w:r>
    </w:p>
    <w:p w14:paraId="4C6FF243" w14:textId="77777777" w:rsidR="00EA2565" w:rsidRPr="005F1A17" w:rsidRDefault="00EA2565" w:rsidP="00EA2565">
      <w:pPr>
        <w:pStyle w:val="ListBullet2"/>
        <w:rPr>
          <w:b/>
        </w:rPr>
      </w:pPr>
      <w:r w:rsidRPr="005F1A17">
        <w:rPr>
          <w:b/>
        </w:rPr>
        <w:t>Royal London Asset Management (‘RLAM’) – Buy and Maintain Credit</w:t>
      </w:r>
    </w:p>
    <w:p w14:paraId="7DADC808" w14:textId="77777777" w:rsidR="00EA2565" w:rsidRPr="00E557D3" w:rsidRDefault="00EA2565" w:rsidP="00EA2565">
      <w:pPr>
        <w:pStyle w:val="ListBullet3"/>
        <w:numPr>
          <w:ilvl w:val="2"/>
          <w:numId w:val="49"/>
        </w:numPr>
        <w:jc w:val="both"/>
        <w:rPr>
          <w:lang w:val="en-US"/>
        </w:rPr>
      </w:pPr>
      <w:r w:rsidRPr="00E557D3">
        <w:t>This is a fixed income mandate, therefore this manager does not vote at AGMs, but rather at E</w:t>
      </w:r>
      <w:r>
        <w:t xml:space="preserve">xtraordinary </w:t>
      </w:r>
      <w:r w:rsidRPr="00E557D3">
        <w:t>G</w:t>
      </w:r>
      <w:r>
        <w:t xml:space="preserve">eneral </w:t>
      </w:r>
      <w:r w:rsidRPr="00E557D3">
        <w:t>M</w:t>
      </w:r>
      <w:r>
        <w:t xml:space="preserve">eetings. </w:t>
      </w:r>
      <w:r w:rsidRPr="00E557D3">
        <w:t xml:space="preserve">Nonetheless, </w:t>
      </w:r>
      <w:r w:rsidRPr="00E557D3">
        <w:rPr>
          <w:lang w:val="en-US"/>
        </w:rPr>
        <w:t>RLAM directly engage</w:t>
      </w:r>
      <w:r>
        <w:rPr>
          <w:lang w:val="en-US"/>
        </w:rPr>
        <w:t>s</w:t>
      </w:r>
      <w:r w:rsidRPr="00E557D3">
        <w:rPr>
          <w:lang w:val="en-US"/>
        </w:rPr>
        <w:t xml:space="preserve"> with companies and do</w:t>
      </w:r>
      <w:r>
        <w:rPr>
          <w:lang w:val="en-US"/>
        </w:rPr>
        <w:t>es</w:t>
      </w:r>
      <w:r w:rsidRPr="00E557D3">
        <w:rPr>
          <w:lang w:val="en-US"/>
        </w:rPr>
        <w:t xml:space="preserve"> not use a third party to vote on </w:t>
      </w:r>
      <w:r>
        <w:rPr>
          <w:lang w:val="en-US"/>
        </w:rPr>
        <w:t xml:space="preserve">its </w:t>
      </w:r>
      <w:r w:rsidRPr="00E557D3">
        <w:rPr>
          <w:lang w:val="en-US"/>
        </w:rPr>
        <w:t xml:space="preserve">behalf. </w:t>
      </w:r>
    </w:p>
    <w:p w14:paraId="0EDFE561" w14:textId="77777777" w:rsidR="00EA2565" w:rsidRPr="009E656A" w:rsidRDefault="00EA2565" w:rsidP="00EA2565">
      <w:pPr>
        <w:pStyle w:val="ListBullet3"/>
        <w:numPr>
          <w:ilvl w:val="2"/>
          <w:numId w:val="49"/>
        </w:numPr>
        <w:jc w:val="both"/>
        <w:rPr>
          <w:lang w:val="en-US"/>
        </w:rPr>
      </w:pPr>
      <w:r w:rsidRPr="00E557D3">
        <w:t>RLAM apply a bespoke approach to integrating ESG. Notwithstanding, RLAM also has access to third party data and research to help inform part of their ESG risk analysis.</w:t>
      </w:r>
      <w:r w:rsidRPr="00E557D3">
        <w:rPr>
          <w:szCs w:val="22"/>
        </w:rPr>
        <w:t xml:space="preserve"> RLAM’s preponderance of secured and covenanted bonds grants the</w:t>
      </w:r>
      <w:r>
        <w:rPr>
          <w:szCs w:val="22"/>
        </w:rPr>
        <w:t>m</w:t>
      </w:r>
      <w:r w:rsidRPr="00E557D3">
        <w:rPr>
          <w:szCs w:val="22"/>
        </w:rPr>
        <w:t xml:space="preserve"> the ability to exercise a significant degree of pre-emptive control over the structure and features of a bond, such as a change in ownership. It also means RLAM </w:t>
      </w:r>
      <w:r>
        <w:rPr>
          <w:szCs w:val="22"/>
        </w:rPr>
        <w:t xml:space="preserve">is </w:t>
      </w:r>
      <w:r w:rsidRPr="00E557D3">
        <w:rPr>
          <w:szCs w:val="22"/>
        </w:rPr>
        <w:t xml:space="preserve">involved in a disproportionate level of </w:t>
      </w:r>
      <w:r>
        <w:rPr>
          <w:szCs w:val="22"/>
        </w:rPr>
        <w:t>engagement</w:t>
      </w:r>
      <w:r w:rsidRPr="00E557D3">
        <w:rPr>
          <w:szCs w:val="22"/>
        </w:rPr>
        <w:t xml:space="preserve"> than is typical for unsecured portfolios.</w:t>
      </w:r>
    </w:p>
    <w:p w14:paraId="3E6F6120" w14:textId="22DBAD04" w:rsidR="00EA2565" w:rsidRDefault="00EA2565" w:rsidP="00EA2565">
      <w:pPr>
        <w:pStyle w:val="ListBullet3"/>
        <w:numPr>
          <w:ilvl w:val="2"/>
          <w:numId w:val="49"/>
        </w:numPr>
        <w:jc w:val="both"/>
        <w:rPr>
          <w:lang w:val="en-US"/>
        </w:rPr>
      </w:pPr>
      <w:r w:rsidRPr="00E557D3">
        <w:rPr>
          <w:lang w:val="en-US"/>
        </w:rPr>
        <w:t xml:space="preserve">While as bond holders RLAM do not have equity holder voting rights, during the 12 month period to </w:t>
      </w:r>
      <w:r>
        <w:rPr>
          <w:lang w:val="en-US"/>
        </w:rPr>
        <w:t>31 March 2024</w:t>
      </w:r>
      <w:r w:rsidRPr="00E557D3">
        <w:rPr>
          <w:lang w:val="en-US"/>
        </w:rPr>
        <w:t xml:space="preserve">, RLAM engaged with </w:t>
      </w:r>
      <w:r>
        <w:rPr>
          <w:lang w:val="en-US"/>
        </w:rPr>
        <w:t>52</w:t>
      </w:r>
      <w:r w:rsidRPr="00E557D3">
        <w:rPr>
          <w:lang w:val="en-US"/>
        </w:rPr>
        <w:t xml:space="preserve"> separate issuers within this portfolio on </w:t>
      </w:r>
      <w:r>
        <w:rPr>
          <w:lang w:val="en-US"/>
        </w:rPr>
        <w:t xml:space="preserve">94 </w:t>
      </w:r>
      <w:r w:rsidRPr="00E557D3">
        <w:rPr>
          <w:lang w:val="en-US"/>
        </w:rPr>
        <w:t>oc</w:t>
      </w:r>
      <w:r>
        <w:rPr>
          <w:lang w:val="en-US"/>
        </w:rPr>
        <w:t>c</w:t>
      </w:r>
      <w:r w:rsidRPr="00E557D3">
        <w:rPr>
          <w:lang w:val="en-US"/>
        </w:rPr>
        <w:t xml:space="preserve">asions. Topics of engagement included </w:t>
      </w:r>
      <w:r>
        <w:t>climate change (transition and physical risk), biodiversity, health, corporate culture, social and financial inclusion, innovation, technology and society.</w:t>
      </w:r>
    </w:p>
    <w:p w14:paraId="51EDECE1" w14:textId="77777777" w:rsidR="00EA2565" w:rsidRPr="005F1A17" w:rsidRDefault="00EA2565" w:rsidP="00EA2565">
      <w:pPr>
        <w:pStyle w:val="ListBullet2"/>
        <w:rPr>
          <w:b/>
        </w:rPr>
      </w:pPr>
      <w:r w:rsidRPr="005F1A17">
        <w:rPr>
          <w:b/>
        </w:rPr>
        <w:t>Insight – Liability Driven Investments (‘LDI’)</w:t>
      </w:r>
    </w:p>
    <w:p w14:paraId="2FA54EED" w14:textId="77777777" w:rsidR="00EA2565" w:rsidRPr="00E557D3" w:rsidRDefault="00EA2565" w:rsidP="00EA2565">
      <w:pPr>
        <w:pStyle w:val="ListBullet3"/>
        <w:numPr>
          <w:ilvl w:val="2"/>
          <w:numId w:val="49"/>
        </w:numPr>
        <w:jc w:val="both"/>
        <w:rPr>
          <w:lang w:val="en-US"/>
        </w:rPr>
      </w:pPr>
      <w:r w:rsidRPr="00E557D3">
        <w:rPr>
          <w:lang w:val="en-US"/>
        </w:rPr>
        <w:t xml:space="preserve">The Insight LDI funds consist of </w:t>
      </w:r>
      <w:r>
        <w:rPr>
          <w:lang w:val="en-US"/>
        </w:rPr>
        <w:t xml:space="preserve">UK </w:t>
      </w:r>
      <w:r w:rsidRPr="00E557D3">
        <w:rPr>
          <w:lang w:val="en-US"/>
        </w:rPr>
        <w:t xml:space="preserve">government issued debt rate and inflation exposures. As such voting </w:t>
      </w:r>
      <w:r>
        <w:rPr>
          <w:lang w:val="en-US"/>
        </w:rPr>
        <w:t xml:space="preserve">is not relevant </w:t>
      </w:r>
      <w:r w:rsidRPr="00E557D3">
        <w:rPr>
          <w:lang w:val="en-US"/>
        </w:rPr>
        <w:t xml:space="preserve">and engagement activities are not </w:t>
      </w:r>
      <w:r>
        <w:rPr>
          <w:lang w:val="en-US"/>
        </w:rPr>
        <w:t>significant</w:t>
      </w:r>
      <w:r w:rsidRPr="00E557D3">
        <w:rPr>
          <w:lang w:val="en-US"/>
        </w:rPr>
        <w:t xml:space="preserve">. </w:t>
      </w:r>
    </w:p>
    <w:p w14:paraId="69DE2CF9" w14:textId="77777777" w:rsidR="00EA2565" w:rsidRPr="00EA2565" w:rsidRDefault="00EA2565" w:rsidP="00EA2565">
      <w:pPr>
        <w:pStyle w:val="OutlineNum2"/>
        <w:numPr>
          <w:ilvl w:val="0"/>
          <w:numId w:val="0"/>
        </w:numPr>
        <w:ind w:left="720"/>
        <w:rPr>
          <w:lang w:val="en-US"/>
        </w:rPr>
      </w:pPr>
    </w:p>
    <w:sectPr w:rsidR="00EA2565" w:rsidRPr="00EA2565" w:rsidSect="00EA48EE">
      <w:headerReference w:type="default" r:id="rId12"/>
      <w:footerReference w:type="default" r:id="rId13"/>
      <w:type w:val="continuous"/>
      <w:pgSz w:w="12240" w:h="15840" w:code="9"/>
      <w:pgMar w:top="1387" w:right="1482" w:bottom="140" w:left="1440"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50444" w14:textId="77777777" w:rsidR="00A01334" w:rsidRDefault="00A01334">
      <w:r>
        <w:separator/>
      </w:r>
    </w:p>
  </w:endnote>
  <w:endnote w:type="continuationSeparator" w:id="0">
    <w:p w14:paraId="55AA4B01" w14:textId="77777777" w:rsidR="00A01334" w:rsidRDefault="00A01334">
      <w:r>
        <w:continuationSeparator/>
      </w:r>
    </w:p>
  </w:endnote>
  <w:endnote w:type="continuationNotice" w:id="1">
    <w:p w14:paraId="4E011E24" w14:textId="77777777" w:rsidR="00A01334" w:rsidRDefault="00A013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te">
    <w:altName w:val="Courier New"/>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F03FE" w14:textId="77777777" w:rsidR="006E03E1" w:rsidRPr="00ED3E92" w:rsidRDefault="006E03E1" w:rsidP="00DC26D7">
    <w:pPr>
      <w:pStyle w:val="ReportCrossRef"/>
      <w:rPr>
        <w:color w:val="3366FF"/>
        <w:sz w:val="12"/>
      </w:rPr>
    </w:pPr>
  </w:p>
  <w:p w14:paraId="1978DB80" w14:textId="77777777" w:rsidR="006E03E1" w:rsidRDefault="006E03E1" w:rsidP="00045CE6">
    <w:pPr>
      <w:pStyle w:val="Footer"/>
    </w:pPr>
  </w:p>
  <w:p w14:paraId="4C898821" w14:textId="77777777" w:rsidR="006E03E1" w:rsidRPr="00DC26D7" w:rsidRDefault="006E03E1" w:rsidP="00DC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38CEE" w14:textId="77777777" w:rsidR="00A01334" w:rsidRDefault="00A01334">
      <w:r>
        <w:separator/>
      </w:r>
    </w:p>
  </w:footnote>
  <w:footnote w:type="continuationSeparator" w:id="0">
    <w:p w14:paraId="763701A6" w14:textId="77777777" w:rsidR="00A01334" w:rsidRDefault="00A01334">
      <w:r>
        <w:continuationSeparator/>
      </w:r>
    </w:p>
  </w:footnote>
  <w:footnote w:type="continuationNotice" w:id="1">
    <w:p w14:paraId="3F973E03" w14:textId="77777777" w:rsidR="00A01334" w:rsidRDefault="00A013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7547" w14:textId="18314BB1" w:rsidR="006E03E1" w:rsidRPr="00D30251" w:rsidRDefault="006E03E1" w:rsidP="00D30251">
    <w:r w:rsidRPr="00D30251">
      <w:t xml:space="preserve">Page </w:t>
    </w:r>
    <w:r w:rsidRPr="00D30251">
      <w:rPr>
        <w:rStyle w:val="PageNumber"/>
        <w:rFonts w:ascii="Arial" w:hAnsi="Arial"/>
        <w:sz w:val="22"/>
        <w:szCs w:val="22"/>
      </w:rPr>
      <w:fldChar w:fldCharType="begin"/>
    </w:r>
    <w:r w:rsidRPr="00D30251">
      <w:rPr>
        <w:rStyle w:val="PageNumber"/>
        <w:rFonts w:ascii="Arial" w:hAnsi="Arial"/>
        <w:sz w:val="22"/>
        <w:szCs w:val="22"/>
      </w:rPr>
      <w:instrText xml:space="preserve"> PAGE </w:instrText>
    </w:r>
    <w:r w:rsidRPr="00D30251">
      <w:rPr>
        <w:rStyle w:val="PageNumber"/>
        <w:rFonts w:ascii="Arial" w:hAnsi="Arial"/>
        <w:sz w:val="22"/>
        <w:szCs w:val="22"/>
      </w:rPr>
      <w:fldChar w:fldCharType="separate"/>
    </w:r>
    <w:r w:rsidR="00580856">
      <w:rPr>
        <w:rStyle w:val="PageNumber"/>
        <w:rFonts w:ascii="Arial" w:hAnsi="Arial"/>
        <w:noProof/>
        <w:sz w:val="22"/>
        <w:szCs w:val="22"/>
      </w:rPr>
      <w:t>4</w:t>
    </w:r>
    <w:r w:rsidRPr="00D30251">
      <w:rPr>
        <w:rStyle w:val="PageNumber"/>
        <w:rFonts w:ascii="Arial" w:hAnsi="Arial"/>
        <w:sz w:val="22"/>
        <w:szCs w:val="22"/>
      </w:rPr>
      <w:fldChar w:fldCharType="end"/>
    </w:r>
  </w:p>
  <w:p w14:paraId="41B9E096" w14:textId="77777777" w:rsidR="006E03E1" w:rsidRDefault="006E03E1">
    <w:pPr>
      <w:pStyle w:val="Header"/>
    </w:pPr>
  </w:p>
  <w:p w14:paraId="12E9B263" w14:textId="77777777" w:rsidR="006E03E1" w:rsidRDefault="006E03E1">
    <w:pPr>
      <w:pStyle w:val="Header"/>
    </w:pPr>
  </w:p>
  <w:p w14:paraId="2A6D35EA" w14:textId="77777777" w:rsidR="006E03E1" w:rsidRDefault="006E0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D25EF81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62234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E4B6E"/>
    <w:multiLevelType w:val="multilevel"/>
    <w:tmpl w:val="EAC8A492"/>
    <w:lvl w:ilvl="0">
      <w:start w:val="1"/>
      <w:numFmt w:val="bullet"/>
      <w:lvlText w:val="–"/>
      <w:lvlJc w:val="left"/>
      <w:pPr>
        <w:tabs>
          <w:tab w:val="num" w:pos="0"/>
        </w:tabs>
        <w:ind w:left="-3" w:hanging="357"/>
      </w:pPr>
      <w:rPr>
        <w:rFonts w:ascii="Times New Roman" w:hAnsi="Times New Roman" w:cs="Times New Roman" w:hint="default"/>
      </w:rPr>
    </w:lvl>
    <w:lvl w:ilvl="1">
      <w:start w:val="1"/>
      <w:numFmt w:val="bullet"/>
      <w:lvlText w:val="–"/>
      <w:lvlJc w:val="left"/>
      <w:pPr>
        <w:tabs>
          <w:tab w:val="num" w:pos="360"/>
        </w:tabs>
        <w:ind w:left="360" w:hanging="360"/>
      </w:pPr>
      <w:rPr>
        <w:rFonts w:ascii="Times New Roman" w:hAnsi="Times New Roman" w:cs="Times New Roman" w:hint="default"/>
      </w:rPr>
    </w:lvl>
    <w:lvl w:ilvl="2">
      <w:start w:val="1"/>
      <w:numFmt w:val="bullet"/>
      <w:pStyle w:val="DashBulletSingle3"/>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080"/>
        </w:tabs>
        <w:ind w:left="1080" w:hanging="360"/>
      </w:pPr>
      <w:rPr>
        <w:rFonts w:ascii="Times New Roman" w:hAnsi="Times New Roman" w:cs="Times New Roman" w:hint="default"/>
      </w:rPr>
    </w:lvl>
    <w:lvl w:ilvl="4">
      <w:start w:val="1"/>
      <w:numFmt w:val="bullet"/>
      <w:pStyle w:val="DashBulletSingle5"/>
      <w:lvlText w:val="–"/>
      <w:lvlJc w:val="left"/>
      <w:pPr>
        <w:tabs>
          <w:tab w:val="num" w:pos="1440"/>
        </w:tabs>
        <w:ind w:left="1440" w:hanging="360"/>
      </w:pPr>
      <w:rPr>
        <w:rFonts w:ascii="Times New Roman" w:hAnsi="Times New Roman" w:cs="Times New Roman"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00DC229E"/>
    <w:multiLevelType w:val="hybridMultilevel"/>
    <w:tmpl w:val="95B25E98"/>
    <w:lvl w:ilvl="0" w:tplc="61AC5C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F90804"/>
    <w:multiLevelType w:val="hybridMultilevel"/>
    <w:tmpl w:val="A1827580"/>
    <w:lvl w:ilvl="0" w:tplc="2DBCF4B6">
      <w:start w:val="1"/>
      <w:numFmt w:val="lowerRoman"/>
      <w:lvlText w:val="(%1)"/>
      <w:lvlJc w:val="left"/>
      <w:pPr>
        <w:ind w:left="1426" w:hanging="72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5" w15:restartNumberingAfterBreak="0">
    <w:nsid w:val="0583328A"/>
    <w:multiLevelType w:val="multilevel"/>
    <w:tmpl w:val="36A49BDC"/>
    <w:lvl w:ilvl="0">
      <w:start w:val="1"/>
      <w:numFmt w:val="bullet"/>
      <w:lvlText w:val=""/>
      <w:lvlJc w:val="left"/>
      <w:pPr>
        <w:tabs>
          <w:tab w:val="num" w:pos="360"/>
        </w:tabs>
        <w:ind w:left="357" w:hanging="357"/>
      </w:pPr>
      <w:rPr>
        <w:rFonts w:ascii="Wingdings" w:hAnsi="Wingdings" w:hint="default"/>
        <w:sz w:val="22"/>
        <w:szCs w:val="22"/>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1984"/>
        </w:tabs>
        <w:ind w:left="1984" w:hanging="397"/>
      </w:pPr>
      <w:rPr>
        <w:rFonts w:ascii="Wingdings" w:hAnsi="Wingdings"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Times New Roman" w:hAnsi="Times New Roman" w:hint="default"/>
      </w:rPr>
    </w:lvl>
    <w:lvl w:ilvl="8">
      <w:start w:val="1"/>
      <w:numFmt w:val="bullet"/>
      <w:lvlText w:val=""/>
      <w:lvlJc w:val="left"/>
      <w:pPr>
        <w:tabs>
          <w:tab w:val="num" w:pos="3572"/>
        </w:tabs>
        <w:ind w:left="3572" w:hanging="397"/>
      </w:pPr>
      <w:rPr>
        <w:rFonts w:ascii="Wingdings" w:hAnsi="Wingdings" w:hint="default"/>
      </w:rPr>
    </w:lvl>
  </w:abstractNum>
  <w:abstractNum w:abstractNumId="6" w15:restartNumberingAfterBreak="0">
    <w:nsid w:val="081137DA"/>
    <w:multiLevelType w:val="hybridMultilevel"/>
    <w:tmpl w:val="1FEA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F7D6B"/>
    <w:multiLevelType w:val="multilevel"/>
    <w:tmpl w:val="7DF806D6"/>
    <w:lvl w:ilvl="0">
      <w:start w:val="1"/>
      <w:numFmt w:val="bullet"/>
      <w:lvlText w:val="–"/>
      <w:lvlJc w:val="left"/>
      <w:pPr>
        <w:tabs>
          <w:tab w:val="num" w:pos="360"/>
        </w:tabs>
        <w:ind w:left="357" w:hanging="357"/>
      </w:pPr>
      <w:rPr>
        <w:rFonts w:ascii="Times New Roman" w:hAnsi="Times New Roman" w:hint="default"/>
      </w:rPr>
    </w:lvl>
    <w:lvl w:ilvl="1">
      <w:start w:val="1"/>
      <w:numFmt w:val="bullet"/>
      <w:pStyle w:val="DashBullet2"/>
      <w:lvlText w:val="–"/>
      <w:lvlJc w:val="left"/>
      <w:pPr>
        <w:tabs>
          <w:tab w:val="num" w:pos="720"/>
        </w:tabs>
        <w:ind w:left="720" w:hanging="360"/>
      </w:pPr>
      <w:rPr>
        <w:rFonts w:ascii="Times New Roman" w:hAnsi="Times New Roman" w:hint="default"/>
      </w:rPr>
    </w:lvl>
    <w:lvl w:ilvl="2">
      <w:start w:val="1"/>
      <w:numFmt w:val="bullet"/>
      <w:pStyle w:val="DashBullet3"/>
      <w:lvlText w:val="–"/>
      <w:lvlJc w:val="left"/>
      <w:pPr>
        <w:tabs>
          <w:tab w:val="num" w:pos="1080"/>
        </w:tabs>
        <w:ind w:left="1080" w:hanging="360"/>
      </w:pPr>
      <w:rPr>
        <w:rFonts w:ascii="Times New Roman" w:hAnsi="Times New Roman" w:cs="Times New Roman" w:hint="default"/>
      </w:rPr>
    </w:lvl>
    <w:lvl w:ilvl="3">
      <w:start w:val="1"/>
      <w:numFmt w:val="bullet"/>
      <w:pStyle w:val="DashBullet4"/>
      <w:lvlText w:val="–"/>
      <w:lvlJc w:val="left"/>
      <w:pPr>
        <w:tabs>
          <w:tab w:val="num" w:pos="1440"/>
        </w:tabs>
        <w:ind w:left="1440" w:hanging="360"/>
      </w:pPr>
      <w:rPr>
        <w:rFonts w:ascii="Times New Roman" w:hAnsi="Times New Roman" w:cs="Times New Roman" w:hint="default"/>
      </w:rPr>
    </w:lvl>
    <w:lvl w:ilvl="4">
      <w:start w:val="1"/>
      <w:numFmt w:val="bullet"/>
      <w:pStyle w:val="DashBullet5"/>
      <w:lvlText w:val="–"/>
      <w:lvlJc w:val="left"/>
      <w:pPr>
        <w:tabs>
          <w:tab w:val="num" w:pos="1440"/>
        </w:tabs>
        <w:ind w:left="144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4166FD"/>
    <w:multiLevelType w:val="multilevel"/>
    <w:tmpl w:val="C8588936"/>
    <w:lvl w:ilvl="0">
      <w:start w:val="1"/>
      <w:numFmt w:val="decimal"/>
      <w:pStyle w:val="TOC1"/>
      <w:lvlText w:val="%1."/>
      <w:lvlJc w:val="left"/>
      <w:pPr>
        <w:tabs>
          <w:tab w:val="num" w:pos="360"/>
        </w:tabs>
        <w:ind w:left="357" w:hanging="357"/>
      </w:pPr>
      <w:rPr>
        <w:rFonts w:ascii="Times New Roman" w:hAnsi="Times New Roman" w:hint="default"/>
        <w:b w:val="0"/>
        <w:i w:val="0"/>
        <w:sz w:val="24"/>
      </w:rPr>
    </w:lvl>
    <w:lvl w:ilvl="1">
      <w:start w:val="1"/>
      <w:numFmt w:val="bullet"/>
      <w:lvlText w:val=""/>
      <w:lvlJc w:val="left"/>
      <w:pPr>
        <w:tabs>
          <w:tab w:val="num" w:pos="1418"/>
        </w:tabs>
        <w:ind w:left="1418" w:hanging="709"/>
      </w:pPr>
      <w:rPr>
        <w:rFonts w:ascii="Wingdings" w:hAnsi="Wingdings" w:hint="default"/>
      </w:rPr>
    </w:lvl>
    <w:lvl w:ilvl="2">
      <w:start w:val="1"/>
      <w:numFmt w:val="bullet"/>
      <w:lvlText w:val=""/>
      <w:lvlJc w:val="left"/>
      <w:pPr>
        <w:tabs>
          <w:tab w:val="num" w:pos="1778"/>
        </w:tabs>
        <w:ind w:left="1775" w:hanging="357"/>
      </w:pPr>
      <w:rPr>
        <w:rFonts w:ascii="Wingdings" w:hAnsi="Wingdings" w:hint="default"/>
      </w:rPr>
    </w:lvl>
    <w:lvl w:ilvl="3">
      <w:start w:val="1"/>
      <w:numFmt w:val="decimal"/>
      <w:lvlText w:val="-"/>
      <w:lvlJc w:val="left"/>
      <w:pPr>
        <w:tabs>
          <w:tab w:val="num" w:pos="1440"/>
        </w:tabs>
        <w:ind w:left="1440" w:hanging="360"/>
      </w:pPr>
      <w:rPr>
        <w:rFonts w:ascii="Times NR" w:hAnsi="Times NR"/>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0F4160"/>
    <w:multiLevelType w:val="multilevel"/>
    <w:tmpl w:val="EAD218FE"/>
    <w:lvl w:ilvl="0">
      <w:start w:val="1"/>
      <w:numFmt w:val="none"/>
      <w:suff w:val="nothing"/>
      <w:lvlText w:val="Summary"/>
      <w:lvlJc w:val="left"/>
      <w:pPr>
        <w:ind w:left="0" w:firstLine="173"/>
      </w:pPr>
    </w:lvl>
    <w:lvl w:ilvl="1">
      <w:start w:val="1"/>
      <w:numFmt w:val="none"/>
      <w:lvlRestart w:val="0"/>
      <w:pStyle w:val="Certification"/>
      <w:suff w:val="nothing"/>
      <w:lvlText w:val="Certification"/>
      <w:lvlJc w:val="left"/>
      <w:pPr>
        <w:ind w:left="187" w:hanging="14"/>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10" w15:restartNumberingAfterBreak="0">
    <w:nsid w:val="12CE1596"/>
    <w:multiLevelType w:val="hybridMultilevel"/>
    <w:tmpl w:val="8E861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77539"/>
    <w:multiLevelType w:val="multilevel"/>
    <w:tmpl w:val="F0D2308C"/>
    <w:lvl w:ilvl="0">
      <w:start w:val="1"/>
      <w:numFmt w:val="upperLetter"/>
      <w:lvlRestart w:val="0"/>
      <w:pStyle w:val="AppendixStart"/>
      <w:suff w:val="nothing"/>
      <w:lvlText w:val="Appendix %1"/>
      <w:lvlJc w:val="left"/>
      <w:pPr>
        <w:ind w:left="360" w:hanging="360"/>
      </w:pPr>
    </w:lvl>
    <w:lvl w:ilvl="1">
      <w:start w:val="1"/>
      <w:numFmt w:val="decimal"/>
      <w:pStyle w:val="AppendixNum"/>
      <w:lvlText w:val="%1.%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6C3144"/>
    <w:multiLevelType w:val="multilevel"/>
    <w:tmpl w:val="D8143030"/>
    <w:lvl w:ilvl="0">
      <w:start w:val="1"/>
      <w:numFmt w:val="decimal"/>
      <w:pStyle w:val="HeadingNumber1"/>
      <w:lvlText w:val="%1"/>
      <w:lvlJc w:val="left"/>
      <w:pPr>
        <w:tabs>
          <w:tab w:val="num" w:pos="720"/>
        </w:tabs>
        <w:ind w:left="720" w:hanging="720"/>
      </w:pPr>
    </w:lvl>
    <w:lvl w:ilvl="1">
      <w:start w:val="1"/>
      <w:numFmt w:val="decimal"/>
      <w:pStyle w:val="HeadingNumber2"/>
      <w:lvlText w:val="%1.%2"/>
      <w:lvlJc w:val="left"/>
      <w:pPr>
        <w:tabs>
          <w:tab w:val="num" w:pos="720"/>
        </w:tabs>
        <w:ind w:left="720" w:hanging="720"/>
      </w:pPr>
    </w:lvl>
    <w:lvl w:ilvl="2">
      <w:start w:val="1"/>
      <w:numFmt w:val="decimal"/>
      <w:pStyle w:val="HeadingNumber3"/>
      <w:lvlText w:val="%1.%2.%3"/>
      <w:lvlJc w:val="left"/>
      <w:pPr>
        <w:tabs>
          <w:tab w:val="num" w:pos="720"/>
        </w:tabs>
        <w:ind w:left="720" w:hanging="720"/>
      </w:pPr>
    </w:lvl>
    <w:lvl w:ilvl="3">
      <w:start w:val="1"/>
      <w:numFmt w:val="decimal"/>
      <w:pStyle w:val="HeadingNumber4"/>
      <w:lvlText w:val="%1.%2.%3.%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330C57"/>
    <w:multiLevelType w:val="multilevel"/>
    <w:tmpl w:val="0B3A18B6"/>
    <w:lvl w:ilvl="0">
      <w:start w:val="1"/>
      <w:numFmt w:val="none"/>
      <w:lvlRestart w:val="0"/>
      <w:pStyle w:val="Highlights"/>
      <w:suff w:val="nothing"/>
      <w:lvlText w:val="Highlights"/>
      <w:lvlJc w:val="left"/>
      <w:pPr>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6033FF"/>
    <w:multiLevelType w:val="hybridMultilevel"/>
    <w:tmpl w:val="DD0A6F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F47CFB"/>
    <w:multiLevelType w:val="hybridMultilevel"/>
    <w:tmpl w:val="1C8A5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8D099C"/>
    <w:multiLevelType w:val="multilevel"/>
    <w:tmpl w:val="3F4833F0"/>
    <w:lvl w:ilvl="0">
      <w:start w:val="1"/>
      <w:numFmt w:val="bullet"/>
      <w:pStyle w:val="DashBullet"/>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440"/>
        </w:tabs>
        <w:ind w:left="1440" w:hanging="720"/>
      </w:pPr>
      <w:rPr>
        <w:rFonts w:ascii="Times New Roman" w:hAnsi="Times New Roman" w:hint="default"/>
      </w:rPr>
    </w:lvl>
    <w:lvl w:ilvl="3">
      <w:start w:val="1"/>
      <w:numFmt w:val="bullet"/>
      <w:lvlText w:val="–"/>
      <w:lvlJc w:val="left"/>
      <w:pPr>
        <w:tabs>
          <w:tab w:val="num" w:pos="1800"/>
        </w:tabs>
        <w:ind w:left="1800" w:hanging="360"/>
      </w:pPr>
      <w:rPr>
        <w:rFonts w:ascii="Times New Roman" w:hAnsi="Times New Roman" w:hint="default"/>
      </w:rPr>
    </w:lvl>
    <w:lvl w:ilvl="4">
      <w:start w:val="1"/>
      <w:numFmt w:val="bullet"/>
      <w:lvlText w:val="–"/>
      <w:lvlJc w:val="left"/>
      <w:pPr>
        <w:tabs>
          <w:tab w:val="num" w:pos="2160"/>
        </w:tabs>
        <w:ind w:left="2160" w:hanging="360"/>
      </w:pPr>
      <w:rPr>
        <w:rFonts w:ascii="Times New Roman" w:hAnsi="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A83B71"/>
    <w:multiLevelType w:val="multilevel"/>
    <w:tmpl w:val="6994C1A8"/>
    <w:lvl w:ilvl="0">
      <w:start w:val="1"/>
      <w:numFmt w:val="bullet"/>
      <w:pStyle w:val="BulletSingle"/>
      <w:lvlText w:val=""/>
      <w:lvlJc w:val="left"/>
      <w:pPr>
        <w:tabs>
          <w:tab w:val="num" w:pos="360"/>
        </w:tabs>
        <w:ind w:left="357" w:hanging="357"/>
      </w:pPr>
      <w:rPr>
        <w:rFonts w:ascii="Wingdings" w:hAnsi="Wingdings" w:hint="default"/>
        <w:sz w:val="20"/>
      </w:rPr>
    </w:lvl>
    <w:lvl w:ilvl="1">
      <w:start w:val="1"/>
      <w:numFmt w:val="bullet"/>
      <w:pStyle w:val="BulletSingle2"/>
      <w:lvlText w:val=""/>
      <w:lvlJc w:val="left"/>
      <w:pPr>
        <w:tabs>
          <w:tab w:val="num" w:pos="720"/>
        </w:tabs>
        <w:ind w:left="720" w:hanging="360"/>
      </w:pPr>
      <w:rPr>
        <w:rFonts w:ascii="Wingdings" w:hAnsi="Wingdings" w:hint="default"/>
        <w:sz w:val="20"/>
      </w:rPr>
    </w:lvl>
    <w:lvl w:ilvl="2">
      <w:start w:val="1"/>
      <w:numFmt w:val="bullet"/>
      <w:pStyle w:val="BulletSingle3"/>
      <w:lvlText w:val=""/>
      <w:lvlJc w:val="left"/>
      <w:pPr>
        <w:tabs>
          <w:tab w:val="num" w:pos="1080"/>
        </w:tabs>
        <w:ind w:left="1080" w:hanging="360"/>
      </w:pPr>
      <w:rPr>
        <w:rFonts w:ascii="Wingdings" w:hAnsi="Wingdings" w:hint="default"/>
        <w:sz w:val="20"/>
      </w:rPr>
    </w:lvl>
    <w:lvl w:ilvl="3">
      <w:start w:val="1"/>
      <w:numFmt w:val="bullet"/>
      <w:pStyle w:val="BulletSingle4"/>
      <w:lvlText w:val=""/>
      <w:lvlJc w:val="left"/>
      <w:pPr>
        <w:tabs>
          <w:tab w:val="num" w:pos="1800"/>
        </w:tabs>
        <w:ind w:left="1800" w:hanging="360"/>
      </w:pPr>
      <w:rPr>
        <w:rFonts w:ascii="Wingdings" w:hAnsi="Wingdings"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3C4544D"/>
    <w:multiLevelType w:val="multilevel"/>
    <w:tmpl w:val="CED66F36"/>
    <w:lvl w:ilvl="0">
      <w:start w:val="1"/>
      <w:numFmt w:val="none"/>
      <w:pStyle w:val="Summary"/>
      <w:suff w:val="nothing"/>
      <w:lvlText w:val="Summary"/>
      <w:lvlJc w:val="left"/>
      <w:pPr>
        <w:ind w:left="173" w:firstLine="14"/>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19" w15:restartNumberingAfterBreak="0">
    <w:nsid w:val="259573E4"/>
    <w:multiLevelType w:val="multilevel"/>
    <w:tmpl w:val="AE580866"/>
    <w:lvl w:ilvl="0">
      <w:start w:val="1"/>
      <w:numFmt w:val="none"/>
      <w:suff w:val="nothing"/>
      <w:lvlText w:val=""/>
      <w:lvlJc w:val="left"/>
      <w:pPr>
        <w:ind w:left="0" w:firstLine="0"/>
      </w:pPr>
      <w:rPr>
        <w:rFonts w:ascii="Times New Roman" w:hAnsi="Times New Roman" w:hint="default"/>
        <w:b w:val="0"/>
        <w:i w:val="0"/>
        <w:sz w:val="24"/>
      </w:rPr>
    </w:lvl>
    <w:lvl w:ilvl="1">
      <w:start w:val="1"/>
      <w:numFmt w:val="none"/>
      <w:pStyle w:val="NormalIndent"/>
      <w:suff w:val="nothing"/>
      <w:lvlText w:val=""/>
      <w:lvlJc w:val="left"/>
      <w:pPr>
        <w:ind w:left="709" w:firstLine="0"/>
      </w:pPr>
      <w:rPr>
        <w:rFonts w:ascii="Times New Roman" w:hAnsi="Times New Roman" w:hint="default"/>
        <w:b w:val="0"/>
        <w:i w:val="0"/>
        <w:sz w:val="24"/>
      </w:rPr>
    </w:lvl>
    <w:lvl w:ilvl="2">
      <w:start w:val="1"/>
      <w:numFmt w:val="none"/>
      <w:suff w:val="nothing"/>
      <w:lvlText w:val=""/>
      <w:lvlJc w:val="left"/>
      <w:pPr>
        <w:ind w:left="1418" w:firstLine="0"/>
      </w:pPr>
      <w:rPr>
        <w:rFonts w:ascii="Times New Roman" w:hAnsi="Times New Roman" w:hint="default"/>
        <w:b w:val="0"/>
        <w:i w:val="0"/>
        <w:sz w:val="24"/>
      </w:rPr>
    </w:lvl>
    <w:lvl w:ilvl="3">
      <w:start w:val="1"/>
      <w:numFmt w:val="none"/>
      <w:suff w:val="nothing"/>
      <w:lvlText w:val=""/>
      <w:lvlJc w:val="left"/>
      <w:pPr>
        <w:ind w:left="2126" w:firstLine="0"/>
      </w:pPr>
      <w:rPr>
        <w:rFonts w:ascii="Times New Roman" w:hAnsi="Times New Roman" w:hint="default"/>
        <w:b w:val="0"/>
        <w:i w:val="0"/>
        <w:sz w:val="24"/>
      </w:rPr>
    </w:lvl>
    <w:lvl w:ilvl="4">
      <w:start w:val="1"/>
      <w:numFmt w:val="bullet"/>
      <w:lvlText w:val=""/>
      <w:lvlJc w:val="left"/>
      <w:pPr>
        <w:tabs>
          <w:tab w:val="num" w:pos="3543"/>
        </w:tabs>
        <w:ind w:left="3543" w:hanging="708"/>
      </w:pPr>
      <w:rPr>
        <w:rFonts w:ascii="Wingdings" w:hAnsi="Wingdings" w:hint="default"/>
      </w:rPr>
    </w:lvl>
    <w:lvl w:ilvl="5">
      <w:start w:val="1"/>
      <w:numFmt w:val="bullet"/>
      <w:lvlText w:val="»"/>
      <w:lvlJc w:val="left"/>
      <w:pPr>
        <w:tabs>
          <w:tab w:val="num" w:pos="4252"/>
        </w:tabs>
        <w:ind w:left="4252" w:hanging="709"/>
      </w:pPr>
      <w:rPr>
        <w:rFonts w:ascii="Times New Roman" w:hAnsi="Times New Roman" w:hint="default"/>
      </w:rPr>
    </w:lvl>
    <w:lvl w:ilvl="6">
      <w:start w:val="1"/>
      <w:numFmt w:val="bullet"/>
      <w:lvlText w:val=""/>
      <w:lvlJc w:val="left"/>
      <w:pPr>
        <w:tabs>
          <w:tab w:val="num" w:pos="4961"/>
        </w:tabs>
        <w:ind w:left="4961" w:hanging="709"/>
      </w:pPr>
      <w:rPr>
        <w:rFonts w:ascii="Symbol" w:hAnsi="Symbol" w:hint="default"/>
      </w:rPr>
    </w:lvl>
    <w:lvl w:ilvl="7">
      <w:start w:val="1"/>
      <w:numFmt w:val="bullet"/>
      <w:lvlText w:val="¤"/>
      <w:lvlJc w:val="left"/>
      <w:pPr>
        <w:tabs>
          <w:tab w:val="num" w:pos="5669"/>
        </w:tabs>
        <w:ind w:left="5669" w:hanging="708"/>
      </w:pPr>
      <w:rPr>
        <w:rFonts w:ascii="Times New Roman" w:hAnsi="Times New Roman" w:hint="default"/>
      </w:rPr>
    </w:lvl>
    <w:lvl w:ilvl="8">
      <w:start w:val="1"/>
      <w:numFmt w:val="bullet"/>
      <w:lvlText w:val=""/>
      <w:lvlJc w:val="left"/>
      <w:pPr>
        <w:tabs>
          <w:tab w:val="num" w:pos="6378"/>
        </w:tabs>
        <w:ind w:left="6378" w:hanging="709"/>
      </w:pPr>
      <w:rPr>
        <w:rFonts w:ascii="Wingdings" w:hAnsi="Wingdings" w:hint="default"/>
      </w:rPr>
    </w:lvl>
  </w:abstractNum>
  <w:abstractNum w:abstractNumId="20" w15:restartNumberingAfterBreak="0">
    <w:nsid w:val="26F0058C"/>
    <w:multiLevelType w:val="singleLevel"/>
    <w:tmpl w:val="C8C608AC"/>
    <w:lvl w:ilvl="0">
      <w:start w:val="1"/>
      <w:numFmt w:val="bullet"/>
      <w:pStyle w:val="Bullet1"/>
      <w:lvlText w:val=""/>
      <w:lvlJc w:val="left"/>
      <w:pPr>
        <w:tabs>
          <w:tab w:val="num" w:pos="360"/>
        </w:tabs>
        <w:ind w:left="360" w:hanging="360"/>
      </w:pPr>
      <w:rPr>
        <w:rFonts w:ascii="Wingdings" w:hAnsi="Wingdings" w:hint="default"/>
        <w:sz w:val="12"/>
      </w:rPr>
    </w:lvl>
  </w:abstractNum>
  <w:abstractNum w:abstractNumId="21" w15:restartNumberingAfterBreak="0">
    <w:nsid w:val="2CBB4AFF"/>
    <w:multiLevelType w:val="multilevel"/>
    <w:tmpl w:val="4672117E"/>
    <w:lvl w:ilvl="0">
      <w:start w:val="1"/>
      <w:numFmt w:val="lowerRoman"/>
      <w:pStyle w:val="RomanList"/>
      <w:lvlText w:val="%1."/>
      <w:lvlJc w:val="left"/>
      <w:pPr>
        <w:tabs>
          <w:tab w:val="num" w:pos="720"/>
        </w:tabs>
        <w:ind w:left="357" w:hanging="357"/>
      </w:pPr>
      <w:rPr>
        <w:rFonts w:ascii="Arial" w:hAnsi="Arial" w:hint="default"/>
        <w:b w:val="0"/>
        <w:i w:val="0"/>
        <w:sz w:val="22"/>
        <w:szCs w:val="22"/>
      </w:rPr>
    </w:lvl>
    <w:lvl w:ilvl="1">
      <w:start w:val="1"/>
      <w:numFmt w:val="lowerRoman"/>
      <w:pStyle w:val="RomanList2"/>
      <w:lvlText w:val="%2."/>
      <w:lvlJc w:val="left"/>
      <w:pPr>
        <w:tabs>
          <w:tab w:val="num" w:pos="720"/>
        </w:tabs>
        <w:ind w:left="720" w:hanging="360"/>
      </w:pPr>
      <w:rPr>
        <w:rFonts w:ascii="Arial" w:hAnsi="Arial" w:hint="default"/>
        <w:b w:val="0"/>
        <w:i w:val="0"/>
        <w:sz w:val="22"/>
        <w:szCs w:val="22"/>
      </w:rPr>
    </w:lvl>
    <w:lvl w:ilvl="2">
      <w:start w:val="1"/>
      <w:numFmt w:val="lowerRoman"/>
      <w:pStyle w:val="RomanList3"/>
      <w:lvlText w:val="%3."/>
      <w:lvlJc w:val="left"/>
      <w:pPr>
        <w:tabs>
          <w:tab w:val="num" w:pos="720"/>
        </w:tabs>
        <w:ind w:left="720" w:firstLine="0"/>
      </w:pPr>
      <w:rPr>
        <w:rFonts w:ascii="Arial" w:hAnsi="Arial" w:hint="default"/>
        <w:b w:val="0"/>
        <w:i w:val="0"/>
        <w:sz w:val="22"/>
        <w:szCs w:val="22"/>
      </w:rPr>
    </w:lvl>
    <w:lvl w:ilvl="3">
      <w:start w:val="1"/>
      <w:numFmt w:val="lowerRoman"/>
      <w:pStyle w:val="RomanList4"/>
      <w:lvlText w:val="%4."/>
      <w:lvlJc w:val="left"/>
      <w:pPr>
        <w:tabs>
          <w:tab w:val="num" w:pos="2160"/>
        </w:tabs>
        <w:ind w:left="1800" w:hanging="360"/>
      </w:pPr>
      <w:rPr>
        <w:rFonts w:ascii="Times New Roman" w:hAnsi="Times New Roman"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3551466"/>
    <w:multiLevelType w:val="multilevel"/>
    <w:tmpl w:val="D31671E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pStyle w:val="DashBulletSingle4"/>
      <w:lvlText w:val="–"/>
      <w:lvlJc w:val="left"/>
      <w:pPr>
        <w:tabs>
          <w:tab w:val="num" w:pos="720"/>
        </w:tabs>
        <w:ind w:left="720" w:firstLine="0"/>
      </w:pPr>
      <w:rPr>
        <w:rFonts w:ascii="Arial" w:hAnsi="Arial" w:hint="default"/>
        <w:b w:val="0"/>
        <w:i w:val="0"/>
        <w:sz w:val="22"/>
        <w:szCs w:val="22"/>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4A8550D"/>
    <w:multiLevelType w:val="multilevel"/>
    <w:tmpl w:val="57B090B2"/>
    <w:lvl w:ilvl="0">
      <w:start w:val="1"/>
      <w:numFmt w:val="lowerLetter"/>
      <w:pStyle w:val="AlphaList"/>
      <w:lvlText w:val="%1."/>
      <w:lvlJc w:val="left"/>
      <w:pPr>
        <w:tabs>
          <w:tab w:val="num" w:pos="360"/>
        </w:tabs>
        <w:ind w:left="360" w:hanging="360"/>
      </w:pPr>
      <w:rPr>
        <w:rFonts w:ascii="Arial" w:hAnsi="Arial" w:hint="default"/>
        <w:b w:val="0"/>
        <w:i w:val="0"/>
        <w:sz w:val="22"/>
        <w:szCs w:val="22"/>
      </w:rPr>
    </w:lvl>
    <w:lvl w:ilvl="1">
      <w:start w:val="1"/>
      <w:numFmt w:val="lowerLetter"/>
      <w:pStyle w:val="AlphaList2"/>
      <w:lvlText w:val="%2."/>
      <w:lvlJc w:val="left"/>
      <w:pPr>
        <w:tabs>
          <w:tab w:val="num" w:pos="720"/>
        </w:tabs>
        <w:ind w:left="720" w:hanging="360"/>
      </w:pPr>
      <w:rPr>
        <w:rFonts w:ascii="Times New Roman" w:hAnsi="Times New Roman" w:hint="default"/>
        <w:b w:val="0"/>
        <w:i w:val="0"/>
        <w:sz w:val="24"/>
      </w:rPr>
    </w:lvl>
    <w:lvl w:ilvl="2">
      <w:start w:val="1"/>
      <w:numFmt w:val="lowerLetter"/>
      <w:pStyle w:val="AlphaList3"/>
      <w:lvlText w:val="%3."/>
      <w:lvlJc w:val="left"/>
      <w:pPr>
        <w:tabs>
          <w:tab w:val="num" w:pos="720"/>
        </w:tabs>
        <w:ind w:left="1440" w:hanging="1080"/>
      </w:pPr>
      <w:rPr>
        <w:rFonts w:ascii="Arial" w:hAnsi="Arial" w:hint="default"/>
        <w:b w:val="0"/>
        <w:i w:val="0"/>
        <w:sz w:val="22"/>
        <w:szCs w:val="22"/>
      </w:rPr>
    </w:lvl>
    <w:lvl w:ilvl="3">
      <w:start w:val="1"/>
      <w:numFmt w:val="lowerLetter"/>
      <w:pStyle w:val="AlphaList4"/>
      <w:lvlText w:val="%4."/>
      <w:lvlJc w:val="left"/>
      <w:pPr>
        <w:tabs>
          <w:tab w:val="num" w:pos="1080"/>
        </w:tabs>
        <w:ind w:left="108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8211473"/>
    <w:multiLevelType w:val="multilevel"/>
    <w:tmpl w:val="4DE84C88"/>
    <w:lvl w:ilvl="0">
      <w:start w:val="1"/>
      <w:numFmt w:val="bullet"/>
      <w:lvlText w:val=""/>
      <w:lvlJc w:val="left"/>
      <w:pPr>
        <w:tabs>
          <w:tab w:val="num" w:pos="360"/>
        </w:tabs>
        <w:ind w:left="357" w:hanging="357"/>
      </w:pPr>
      <w:rPr>
        <w:rFonts w:ascii="Wingdings" w:hAnsi="Wingdings" w:hint="default"/>
        <w:sz w:val="22"/>
        <w:szCs w:val="22"/>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1984"/>
        </w:tabs>
        <w:ind w:left="1984" w:hanging="397"/>
      </w:pPr>
      <w:rPr>
        <w:rFonts w:ascii="Wingdings" w:hAnsi="Wingdings"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Times New Roman" w:hAnsi="Times New Roman" w:hint="default"/>
      </w:rPr>
    </w:lvl>
    <w:lvl w:ilvl="8">
      <w:start w:val="1"/>
      <w:numFmt w:val="bullet"/>
      <w:lvlText w:val=""/>
      <w:lvlJc w:val="left"/>
      <w:pPr>
        <w:tabs>
          <w:tab w:val="num" w:pos="3572"/>
        </w:tabs>
        <w:ind w:left="3572" w:hanging="397"/>
      </w:pPr>
      <w:rPr>
        <w:rFonts w:ascii="Wingdings" w:hAnsi="Wingdings" w:hint="default"/>
      </w:rPr>
    </w:lvl>
  </w:abstractNum>
  <w:abstractNum w:abstractNumId="25" w15:restartNumberingAfterBreak="0">
    <w:nsid w:val="3A382878"/>
    <w:multiLevelType w:val="multilevel"/>
    <w:tmpl w:val="887EE74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26" w15:restartNumberingAfterBreak="0">
    <w:nsid w:val="3DB460F8"/>
    <w:multiLevelType w:val="multilevel"/>
    <w:tmpl w:val="2C9A6F02"/>
    <w:lvl w:ilvl="0">
      <w:start w:val="1"/>
      <w:numFmt w:val="decimal"/>
      <w:pStyle w:val="OutlineNum"/>
      <w:lvlText w:val="%1."/>
      <w:lvlJc w:val="left"/>
      <w:pPr>
        <w:tabs>
          <w:tab w:val="num" w:pos="720"/>
        </w:tabs>
        <w:ind w:left="720" w:hanging="720"/>
      </w:pPr>
      <w:rPr>
        <w:rFonts w:ascii="Arial" w:hAnsi="Arial" w:hint="default"/>
        <w:b w:val="0"/>
        <w:i w:val="0"/>
        <w:sz w:val="22"/>
        <w:szCs w:val="24"/>
      </w:rPr>
    </w:lvl>
    <w:lvl w:ilvl="1">
      <w:start w:val="1"/>
      <w:numFmt w:val="decimal"/>
      <w:pStyle w:val="OutlineNum2"/>
      <w:lvlText w:val="%1.%2"/>
      <w:lvlJc w:val="left"/>
      <w:pPr>
        <w:tabs>
          <w:tab w:val="num" w:pos="720"/>
        </w:tabs>
        <w:ind w:left="720" w:hanging="720"/>
      </w:pPr>
      <w:rPr>
        <w:rFonts w:ascii="Arial" w:hAnsi="Arial" w:hint="default"/>
        <w:b w:val="0"/>
        <w:i w:val="0"/>
        <w:sz w:val="22"/>
      </w:rPr>
    </w:lvl>
    <w:lvl w:ilvl="2">
      <w:start w:val="1"/>
      <w:numFmt w:val="decimal"/>
      <w:pStyle w:val="OutlineNum3"/>
      <w:lvlText w:val="%1.%2.%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6B5006"/>
    <w:multiLevelType w:val="multilevel"/>
    <w:tmpl w:val="83B0955C"/>
    <w:lvl w:ilvl="0">
      <w:start w:val="1"/>
      <w:numFmt w:val="bullet"/>
      <w:pStyle w:val="ListBullet"/>
      <w:lvlText w:val=""/>
      <w:lvlJc w:val="left"/>
      <w:pPr>
        <w:tabs>
          <w:tab w:val="num" w:pos="360"/>
        </w:tabs>
        <w:ind w:left="357" w:hanging="357"/>
      </w:pPr>
      <w:rPr>
        <w:rFonts w:ascii="Wingdings" w:hAnsi="Wingdings" w:hint="default"/>
        <w:sz w:val="22"/>
        <w:szCs w:val="22"/>
      </w:rPr>
    </w:lvl>
    <w:lvl w:ilvl="1">
      <w:start w:val="1"/>
      <w:numFmt w:val="bullet"/>
      <w:pStyle w:val="ListBullet2"/>
      <w:lvlText w:val=""/>
      <w:lvlJc w:val="left"/>
      <w:pPr>
        <w:tabs>
          <w:tab w:val="num" w:pos="720"/>
        </w:tabs>
        <w:ind w:left="720" w:hanging="360"/>
      </w:pPr>
      <w:rPr>
        <w:rFonts w:ascii="Wingdings" w:hAnsi="Wingdings" w:hint="default"/>
        <w:sz w:val="20"/>
      </w:rPr>
    </w:lvl>
    <w:lvl w:ilvl="2">
      <w:start w:val="1"/>
      <w:numFmt w:val="bullet"/>
      <w:pStyle w:val="ListBullet3"/>
      <w:lvlText w:val=""/>
      <w:lvlJc w:val="left"/>
      <w:pPr>
        <w:tabs>
          <w:tab w:val="num" w:pos="1080"/>
        </w:tabs>
        <w:ind w:left="1080" w:hanging="360"/>
      </w:pPr>
      <w:rPr>
        <w:rFonts w:ascii="Wingdings" w:hAnsi="Wingdings" w:hint="default"/>
        <w:sz w:val="20"/>
      </w:rPr>
    </w:lvl>
    <w:lvl w:ilvl="3">
      <w:start w:val="1"/>
      <w:numFmt w:val="bullet"/>
      <w:pStyle w:val="ListBullet4"/>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1984"/>
        </w:tabs>
        <w:ind w:left="1984" w:hanging="397"/>
      </w:pPr>
      <w:rPr>
        <w:rFonts w:ascii="Wingdings" w:hAnsi="Wingdings"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Times New Roman" w:hAnsi="Times New Roman" w:hint="default"/>
      </w:rPr>
    </w:lvl>
    <w:lvl w:ilvl="8">
      <w:start w:val="1"/>
      <w:numFmt w:val="bullet"/>
      <w:lvlText w:val=""/>
      <w:lvlJc w:val="left"/>
      <w:pPr>
        <w:tabs>
          <w:tab w:val="num" w:pos="3572"/>
        </w:tabs>
        <w:ind w:left="3572" w:hanging="397"/>
      </w:pPr>
      <w:rPr>
        <w:rFonts w:ascii="Wingdings" w:hAnsi="Wingdings" w:hint="default"/>
      </w:rPr>
    </w:lvl>
  </w:abstractNum>
  <w:abstractNum w:abstractNumId="28" w15:restartNumberingAfterBreak="0">
    <w:nsid w:val="49B15B50"/>
    <w:multiLevelType w:val="hybridMultilevel"/>
    <w:tmpl w:val="FA1EEAEC"/>
    <w:lvl w:ilvl="0" w:tplc="08090005">
      <w:start w:val="1"/>
      <w:numFmt w:val="bullet"/>
      <w:lvlText w:val=""/>
      <w:lvlJc w:val="left"/>
      <w:pPr>
        <w:ind w:left="1066" w:hanging="360"/>
      </w:pPr>
      <w:rPr>
        <w:rFonts w:ascii="Wingdings" w:hAnsi="Wingdings"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9" w15:restartNumberingAfterBreak="0">
    <w:nsid w:val="59874946"/>
    <w:multiLevelType w:val="hybridMultilevel"/>
    <w:tmpl w:val="CD8268E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4D82"/>
    <w:multiLevelType w:val="multilevel"/>
    <w:tmpl w:val="E404F784"/>
    <w:lvl w:ilvl="0">
      <w:start w:val="1"/>
      <w:numFmt w:val="none"/>
      <w:lvlRestart w:val="0"/>
      <w:suff w:val="nothing"/>
      <w:lvlText w:val=""/>
      <w:lvlJc w:val="left"/>
      <w:pPr>
        <w:ind w:left="0" w:firstLine="187"/>
      </w:pPr>
      <w:rPr>
        <w:rFonts w:hint="default"/>
      </w:rPr>
    </w:lvl>
    <w:lvl w:ilvl="1">
      <w:start w:val="1"/>
      <w:numFmt w:val="decimal"/>
      <w:pStyle w:val="CertificateNum"/>
      <w:lvlText w:val="%1.%2"/>
      <w:lvlJc w:val="left"/>
      <w:pPr>
        <w:tabs>
          <w:tab w:val="num" w:pos="907"/>
        </w:tabs>
        <w:ind w:left="907" w:hanging="720"/>
      </w:pPr>
      <w:rPr>
        <w:rFonts w:hint="default"/>
      </w:rPr>
    </w:lvl>
    <w:lvl w:ilvl="2">
      <w:start w:val="1"/>
      <w:numFmt w:val="lowerRoman"/>
      <w:lvlText w:val="%3)"/>
      <w:lvlJc w:val="left"/>
      <w:pPr>
        <w:tabs>
          <w:tab w:val="num" w:pos="1267"/>
        </w:tabs>
        <w:ind w:left="1267" w:hanging="360"/>
      </w:pPr>
      <w:rPr>
        <w:rFonts w:hint="default"/>
      </w:rPr>
    </w:lvl>
    <w:lvl w:ilvl="3">
      <w:start w:val="1"/>
      <w:numFmt w:val="decimal"/>
      <w:lvlText w:val="(%4)"/>
      <w:lvlJc w:val="left"/>
      <w:pPr>
        <w:tabs>
          <w:tab w:val="num" w:pos="1627"/>
        </w:tabs>
        <w:ind w:left="1627" w:hanging="360"/>
      </w:pPr>
      <w:rPr>
        <w:rFonts w:hint="default"/>
      </w:rPr>
    </w:lvl>
    <w:lvl w:ilvl="4">
      <w:start w:val="1"/>
      <w:numFmt w:val="lowerLetter"/>
      <w:lvlText w:val="(%5)"/>
      <w:lvlJc w:val="left"/>
      <w:pPr>
        <w:tabs>
          <w:tab w:val="num" w:pos="1987"/>
        </w:tabs>
        <w:ind w:left="1987" w:hanging="360"/>
      </w:pPr>
      <w:rPr>
        <w:rFonts w:hint="default"/>
      </w:rPr>
    </w:lvl>
    <w:lvl w:ilvl="5">
      <w:start w:val="1"/>
      <w:numFmt w:val="lowerRoman"/>
      <w:lvlText w:val="(%6)"/>
      <w:lvlJc w:val="left"/>
      <w:pPr>
        <w:tabs>
          <w:tab w:val="num" w:pos="2347"/>
        </w:tabs>
        <w:ind w:left="2347" w:hanging="360"/>
      </w:pPr>
      <w:rPr>
        <w:rFonts w:hint="default"/>
      </w:rPr>
    </w:lvl>
    <w:lvl w:ilvl="6">
      <w:start w:val="1"/>
      <w:numFmt w:val="decimal"/>
      <w:lvlText w:val="%7."/>
      <w:lvlJc w:val="left"/>
      <w:pPr>
        <w:tabs>
          <w:tab w:val="num" w:pos="2707"/>
        </w:tabs>
        <w:ind w:left="2707" w:hanging="360"/>
      </w:pPr>
      <w:rPr>
        <w:rFonts w:hint="default"/>
      </w:rPr>
    </w:lvl>
    <w:lvl w:ilvl="7">
      <w:start w:val="1"/>
      <w:numFmt w:val="lowerLetter"/>
      <w:lvlText w:val="%8."/>
      <w:lvlJc w:val="left"/>
      <w:pPr>
        <w:tabs>
          <w:tab w:val="num" w:pos="3067"/>
        </w:tabs>
        <w:ind w:left="3067" w:hanging="360"/>
      </w:pPr>
      <w:rPr>
        <w:rFonts w:hint="default"/>
      </w:rPr>
    </w:lvl>
    <w:lvl w:ilvl="8">
      <w:start w:val="1"/>
      <w:numFmt w:val="lowerRoman"/>
      <w:lvlText w:val="%9."/>
      <w:lvlJc w:val="left"/>
      <w:pPr>
        <w:tabs>
          <w:tab w:val="num" w:pos="3427"/>
        </w:tabs>
        <w:ind w:left="3427" w:hanging="360"/>
      </w:pPr>
      <w:rPr>
        <w:rFonts w:hint="default"/>
      </w:rPr>
    </w:lvl>
  </w:abstractNum>
  <w:abstractNum w:abstractNumId="31" w15:restartNumberingAfterBreak="0">
    <w:nsid w:val="5DDB68D2"/>
    <w:multiLevelType w:val="singleLevel"/>
    <w:tmpl w:val="EBA0114A"/>
    <w:lvl w:ilvl="0">
      <w:start w:val="1"/>
      <w:numFmt w:val="bullet"/>
      <w:pStyle w:val="Bullet2"/>
      <w:lvlText w:val="–"/>
      <w:lvlJc w:val="left"/>
      <w:pPr>
        <w:tabs>
          <w:tab w:val="num" w:pos="720"/>
        </w:tabs>
        <w:ind w:left="360" w:firstLine="0"/>
      </w:pPr>
      <w:rPr>
        <w:rFonts w:ascii="Times New Roman" w:hAnsi="Times New Roman" w:hint="default"/>
      </w:rPr>
    </w:lvl>
  </w:abstractNum>
  <w:abstractNum w:abstractNumId="32" w15:restartNumberingAfterBreak="0">
    <w:nsid w:val="61A667FD"/>
    <w:multiLevelType w:val="hybridMultilevel"/>
    <w:tmpl w:val="4E38535E"/>
    <w:name w:val="SectionStart"/>
    <w:lvl w:ilvl="0" w:tplc="804A0810">
      <w:start w:val="1"/>
      <w:numFmt w:val="bullet"/>
      <w:pStyle w:val="DashBulletSingle2"/>
      <w:lvlText w:val=""/>
      <w:lvlJc w:val="left"/>
      <w:pPr>
        <w:tabs>
          <w:tab w:val="num" w:pos="720"/>
        </w:tabs>
        <w:ind w:left="720" w:hanging="360"/>
      </w:pPr>
      <w:rPr>
        <w:rFonts w:ascii="Symbol" w:hAnsi="Symbol" w:hint="default"/>
        <w:b/>
        <w:i w:val="0"/>
        <w:sz w:val="20"/>
        <w:szCs w:val="20"/>
      </w:rPr>
    </w:lvl>
    <w:lvl w:ilvl="1" w:tplc="C596ADAC" w:tentative="1">
      <w:start w:val="1"/>
      <w:numFmt w:val="bullet"/>
      <w:lvlText w:val="o"/>
      <w:lvlJc w:val="left"/>
      <w:pPr>
        <w:tabs>
          <w:tab w:val="num" w:pos="1440"/>
        </w:tabs>
        <w:ind w:left="1440" w:hanging="360"/>
      </w:pPr>
      <w:rPr>
        <w:rFonts w:ascii="Courier New" w:hAnsi="Courier New" w:cs="Courier New" w:hint="default"/>
      </w:rPr>
    </w:lvl>
    <w:lvl w:ilvl="2" w:tplc="3C60A896" w:tentative="1">
      <w:start w:val="1"/>
      <w:numFmt w:val="bullet"/>
      <w:lvlText w:val=""/>
      <w:lvlJc w:val="left"/>
      <w:pPr>
        <w:tabs>
          <w:tab w:val="num" w:pos="2160"/>
        </w:tabs>
        <w:ind w:left="2160" w:hanging="360"/>
      </w:pPr>
      <w:rPr>
        <w:rFonts w:ascii="Wingdings" w:hAnsi="Wingdings" w:hint="default"/>
      </w:rPr>
    </w:lvl>
    <w:lvl w:ilvl="3" w:tplc="F5B241BA" w:tentative="1">
      <w:start w:val="1"/>
      <w:numFmt w:val="bullet"/>
      <w:lvlText w:val=""/>
      <w:lvlJc w:val="left"/>
      <w:pPr>
        <w:tabs>
          <w:tab w:val="num" w:pos="2880"/>
        </w:tabs>
        <w:ind w:left="2880" w:hanging="360"/>
      </w:pPr>
      <w:rPr>
        <w:rFonts w:ascii="Symbol" w:hAnsi="Symbol" w:hint="default"/>
      </w:rPr>
    </w:lvl>
    <w:lvl w:ilvl="4" w:tplc="F502D64E" w:tentative="1">
      <w:start w:val="1"/>
      <w:numFmt w:val="bullet"/>
      <w:lvlText w:val="o"/>
      <w:lvlJc w:val="left"/>
      <w:pPr>
        <w:tabs>
          <w:tab w:val="num" w:pos="3600"/>
        </w:tabs>
        <w:ind w:left="3600" w:hanging="360"/>
      </w:pPr>
      <w:rPr>
        <w:rFonts w:ascii="Courier New" w:hAnsi="Courier New" w:cs="Courier New" w:hint="default"/>
      </w:rPr>
    </w:lvl>
    <w:lvl w:ilvl="5" w:tplc="0A909B18" w:tentative="1">
      <w:start w:val="1"/>
      <w:numFmt w:val="bullet"/>
      <w:lvlText w:val=""/>
      <w:lvlJc w:val="left"/>
      <w:pPr>
        <w:tabs>
          <w:tab w:val="num" w:pos="4320"/>
        </w:tabs>
        <w:ind w:left="4320" w:hanging="360"/>
      </w:pPr>
      <w:rPr>
        <w:rFonts w:ascii="Wingdings" w:hAnsi="Wingdings" w:hint="default"/>
      </w:rPr>
    </w:lvl>
    <w:lvl w:ilvl="6" w:tplc="5F329C8A" w:tentative="1">
      <w:start w:val="1"/>
      <w:numFmt w:val="bullet"/>
      <w:lvlText w:val=""/>
      <w:lvlJc w:val="left"/>
      <w:pPr>
        <w:tabs>
          <w:tab w:val="num" w:pos="5040"/>
        </w:tabs>
        <w:ind w:left="5040" w:hanging="360"/>
      </w:pPr>
      <w:rPr>
        <w:rFonts w:ascii="Symbol" w:hAnsi="Symbol" w:hint="default"/>
      </w:rPr>
    </w:lvl>
    <w:lvl w:ilvl="7" w:tplc="CFF8D48A" w:tentative="1">
      <w:start w:val="1"/>
      <w:numFmt w:val="bullet"/>
      <w:lvlText w:val="o"/>
      <w:lvlJc w:val="left"/>
      <w:pPr>
        <w:tabs>
          <w:tab w:val="num" w:pos="5760"/>
        </w:tabs>
        <w:ind w:left="5760" w:hanging="360"/>
      </w:pPr>
      <w:rPr>
        <w:rFonts w:ascii="Courier New" w:hAnsi="Courier New" w:cs="Courier New" w:hint="default"/>
      </w:rPr>
    </w:lvl>
    <w:lvl w:ilvl="8" w:tplc="294C9F4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8702E"/>
    <w:multiLevelType w:val="singleLevel"/>
    <w:tmpl w:val="922ADDBC"/>
    <w:lvl w:ilvl="0">
      <w:numFmt w:val="none"/>
      <w:pStyle w:val="Bullet3"/>
      <w:lvlText w:val=""/>
      <w:lvlJc w:val="left"/>
      <w:pPr>
        <w:tabs>
          <w:tab w:val="num" w:pos="360"/>
        </w:tabs>
        <w:ind w:left="360" w:hanging="360"/>
      </w:pPr>
      <w:rPr>
        <w:rFonts w:ascii="Wingdings" w:hAnsi="Wingdings" w:hint="default"/>
      </w:rPr>
    </w:lvl>
  </w:abstractNum>
  <w:abstractNum w:abstractNumId="34" w15:restartNumberingAfterBreak="0">
    <w:nsid w:val="634216FB"/>
    <w:multiLevelType w:val="multilevel"/>
    <w:tmpl w:val="37EE1D5C"/>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ListNumHeading"/>
      <w:lvlText w:val="%6."/>
      <w:lvlJc w:val="left"/>
      <w:pPr>
        <w:tabs>
          <w:tab w:val="num" w:pos="360"/>
        </w:tabs>
        <w:ind w:left="360" w:hanging="360"/>
      </w:pPr>
      <w:rPr>
        <w:rFonts w:ascii="Times New Roman" w:hAnsi="Times New Roman" w:hint="default"/>
        <w:b w:val="0"/>
        <w:i w:val="0"/>
        <w:sz w:val="24"/>
        <w:szCs w:val="24"/>
      </w:rPr>
    </w:lvl>
    <w:lvl w:ilvl="6">
      <w:start w:val="1"/>
      <w:numFmt w:val="decimal"/>
      <w:pStyle w:val="ListNumber2"/>
      <w:lvlText w:val="%6.%7"/>
      <w:lvlJc w:val="left"/>
      <w:pPr>
        <w:tabs>
          <w:tab w:val="num" w:pos="720"/>
        </w:tabs>
        <w:ind w:left="720" w:hanging="576"/>
      </w:pPr>
      <w:rPr>
        <w:rFonts w:hint="default"/>
      </w:rPr>
    </w:lvl>
    <w:lvl w:ilvl="7">
      <w:start w:val="1"/>
      <w:numFmt w:val="decimal"/>
      <w:pStyle w:val="ListNumber3"/>
      <w:lvlText w:val="%8."/>
      <w:lvlJc w:val="left"/>
      <w:pPr>
        <w:tabs>
          <w:tab w:val="num" w:pos="1080"/>
        </w:tabs>
        <w:ind w:left="1080" w:hanging="360"/>
      </w:pPr>
      <w:rPr>
        <w:rFonts w:hint="default"/>
      </w:rPr>
    </w:lvl>
    <w:lvl w:ilvl="8">
      <w:start w:val="1"/>
      <w:numFmt w:val="lowerLetter"/>
      <w:pStyle w:val="ListNumber4"/>
      <w:lvlText w:val="%9."/>
      <w:lvlJc w:val="left"/>
      <w:pPr>
        <w:tabs>
          <w:tab w:val="num" w:pos="1440"/>
        </w:tabs>
        <w:ind w:left="1440" w:hanging="360"/>
      </w:pPr>
      <w:rPr>
        <w:rFonts w:hint="default"/>
      </w:rPr>
    </w:lvl>
  </w:abstractNum>
  <w:abstractNum w:abstractNumId="35" w15:restartNumberingAfterBreak="0">
    <w:nsid w:val="68DA4876"/>
    <w:multiLevelType w:val="multilevel"/>
    <w:tmpl w:val="F1CA9C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hint="default"/>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hint="default"/>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6" w15:restartNumberingAfterBreak="0">
    <w:nsid w:val="699E2EE1"/>
    <w:multiLevelType w:val="hybridMultilevel"/>
    <w:tmpl w:val="3934E5EE"/>
    <w:lvl w:ilvl="0" w:tplc="9A984680">
      <w:start w:val="1"/>
      <w:numFmt w:val="bullet"/>
      <w:lvlText w:val=""/>
      <w:lvlJc w:val="left"/>
      <w:pPr>
        <w:ind w:left="1066" w:hanging="360"/>
      </w:pPr>
      <w:rPr>
        <w:rFonts w:ascii="Wingdings" w:hAnsi="Wingdings" w:hint="default"/>
      </w:rPr>
    </w:lvl>
    <w:lvl w:ilvl="1" w:tplc="9A984680">
      <w:start w:val="1"/>
      <w:numFmt w:val="bullet"/>
      <w:lvlText w:val=""/>
      <w:lvlJc w:val="left"/>
      <w:pPr>
        <w:ind w:left="1786" w:hanging="360"/>
      </w:pPr>
      <w:rPr>
        <w:rFonts w:ascii="Wingdings" w:hAnsi="Wingdings"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7" w15:restartNumberingAfterBreak="0">
    <w:nsid w:val="69AD6478"/>
    <w:multiLevelType w:val="hybridMultilevel"/>
    <w:tmpl w:val="FE4C625C"/>
    <w:lvl w:ilvl="0" w:tplc="9A984680">
      <w:start w:val="1"/>
      <w:numFmt w:val="bullet"/>
      <w:lvlText w:val=""/>
      <w:lvlJc w:val="left"/>
      <w:pPr>
        <w:tabs>
          <w:tab w:val="num" w:pos="1080"/>
        </w:tabs>
        <w:ind w:left="1080" w:hanging="360"/>
      </w:pPr>
      <w:rPr>
        <w:rFonts w:ascii="Wingdings" w:hAnsi="Wingdings" w:hint="default"/>
      </w:rPr>
    </w:lvl>
    <w:lvl w:ilvl="1" w:tplc="30F80872" w:tentative="1">
      <w:start w:val="1"/>
      <w:numFmt w:val="bullet"/>
      <w:lvlText w:val="o"/>
      <w:lvlJc w:val="left"/>
      <w:pPr>
        <w:tabs>
          <w:tab w:val="num" w:pos="1800"/>
        </w:tabs>
        <w:ind w:left="1800" w:hanging="360"/>
      </w:pPr>
      <w:rPr>
        <w:rFonts w:ascii="Courier New" w:hAnsi="Courier New" w:cs="Courier New" w:hint="default"/>
      </w:rPr>
    </w:lvl>
    <w:lvl w:ilvl="2" w:tplc="70E232C0" w:tentative="1">
      <w:start w:val="1"/>
      <w:numFmt w:val="bullet"/>
      <w:lvlText w:val=""/>
      <w:lvlJc w:val="left"/>
      <w:pPr>
        <w:tabs>
          <w:tab w:val="num" w:pos="2520"/>
        </w:tabs>
        <w:ind w:left="2520" w:hanging="360"/>
      </w:pPr>
      <w:rPr>
        <w:rFonts w:ascii="Wingdings" w:hAnsi="Wingdings" w:hint="default"/>
      </w:rPr>
    </w:lvl>
    <w:lvl w:ilvl="3" w:tplc="6D68C82E" w:tentative="1">
      <w:start w:val="1"/>
      <w:numFmt w:val="bullet"/>
      <w:lvlText w:val=""/>
      <w:lvlJc w:val="left"/>
      <w:pPr>
        <w:tabs>
          <w:tab w:val="num" w:pos="3240"/>
        </w:tabs>
        <w:ind w:left="3240" w:hanging="360"/>
      </w:pPr>
      <w:rPr>
        <w:rFonts w:ascii="Symbol" w:hAnsi="Symbol" w:hint="default"/>
      </w:rPr>
    </w:lvl>
    <w:lvl w:ilvl="4" w:tplc="21C874B6" w:tentative="1">
      <w:start w:val="1"/>
      <w:numFmt w:val="bullet"/>
      <w:lvlText w:val="o"/>
      <w:lvlJc w:val="left"/>
      <w:pPr>
        <w:tabs>
          <w:tab w:val="num" w:pos="3960"/>
        </w:tabs>
        <w:ind w:left="3960" w:hanging="360"/>
      </w:pPr>
      <w:rPr>
        <w:rFonts w:ascii="Courier New" w:hAnsi="Courier New" w:cs="Courier New" w:hint="default"/>
      </w:rPr>
    </w:lvl>
    <w:lvl w:ilvl="5" w:tplc="DB7CD1D8" w:tentative="1">
      <w:start w:val="1"/>
      <w:numFmt w:val="bullet"/>
      <w:lvlText w:val=""/>
      <w:lvlJc w:val="left"/>
      <w:pPr>
        <w:tabs>
          <w:tab w:val="num" w:pos="4680"/>
        </w:tabs>
        <w:ind w:left="4680" w:hanging="360"/>
      </w:pPr>
      <w:rPr>
        <w:rFonts w:ascii="Wingdings" w:hAnsi="Wingdings" w:hint="default"/>
      </w:rPr>
    </w:lvl>
    <w:lvl w:ilvl="6" w:tplc="E2F80602" w:tentative="1">
      <w:start w:val="1"/>
      <w:numFmt w:val="bullet"/>
      <w:lvlText w:val=""/>
      <w:lvlJc w:val="left"/>
      <w:pPr>
        <w:tabs>
          <w:tab w:val="num" w:pos="5400"/>
        </w:tabs>
        <w:ind w:left="5400" w:hanging="360"/>
      </w:pPr>
      <w:rPr>
        <w:rFonts w:ascii="Symbol" w:hAnsi="Symbol" w:hint="default"/>
      </w:rPr>
    </w:lvl>
    <w:lvl w:ilvl="7" w:tplc="FC503C12" w:tentative="1">
      <w:start w:val="1"/>
      <w:numFmt w:val="bullet"/>
      <w:lvlText w:val="o"/>
      <w:lvlJc w:val="left"/>
      <w:pPr>
        <w:tabs>
          <w:tab w:val="num" w:pos="6120"/>
        </w:tabs>
        <w:ind w:left="6120" w:hanging="360"/>
      </w:pPr>
      <w:rPr>
        <w:rFonts w:ascii="Courier New" w:hAnsi="Courier New" w:cs="Courier New" w:hint="default"/>
      </w:rPr>
    </w:lvl>
    <w:lvl w:ilvl="8" w:tplc="C6C2B98C"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EA44AF"/>
    <w:multiLevelType w:val="multilevel"/>
    <w:tmpl w:val="75E2C298"/>
    <w:lvl w:ilvl="0">
      <w:start w:val="1"/>
      <w:numFmt w:val="bullet"/>
      <w:lvlText w:val=""/>
      <w:lvlJc w:val="left"/>
      <w:pPr>
        <w:tabs>
          <w:tab w:val="num" w:pos="360"/>
        </w:tabs>
        <w:ind w:left="357" w:hanging="357"/>
      </w:pPr>
      <w:rPr>
        <w:rFonts w:ascii="Wingdings" w:hAnsi="Wingdings" w:hint="default"/>
        <w:sz w:val="22"/>
        <w:szCs w:val="22"/>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1984"/>
        </w:tabs>
        <w:ind w:left="1984" w:hanging="397"/>
      </w:pPr>
      <w:rPr>
        <w:rFonts w:ascii="Wingdings" w:hAnsi="Wingdings"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Times New Roman" w:hAnsi="Times New Roman" w:hint="default"/>
      </w:rPr>
    </w:lvl>
    <w:lvl w:ilvl="8">
      <w:start w:val="1"/>
      <w:numFmt w:val="bullet"/>
      <w:lvlText w:val=""/>
      <w:lvlJc w:val="left"/>
      <w:pPr>
        <w:tabs>
          <w:tab w:val="num" w:pos="3572"/>
        </w:tabs>
        <w:ind w:left="3572" w:hanging="397"/>
      </w:pPr>
      <w:rPr>
        <w:rFonts w:ascii="Wingdings" w:hAnsi="Wingdings" w:hint="default"/>
      </w:rPr>
    </w:lvl>
  </w:abstractNum>
  <w:abstractNum w:abstractNumId="39" w15:restartNumberingAfterBreak="0">
    <w:nsid w:val="6DDD76DA"/>
    <w:multiLevelType w:val="singleLevel"/>
    <w:tmpl w:val="0F7438B0"/>
    <w:lvl w:ilvl="0">
      <w:start w:val="1"/>
      <w:numFmt w:val="bullet"/>
      <w:pStyle w:val="Bullet4"/>
      <w:lvlText w:val="-"/>
      <w:lvlJc w:val="left"/>
      <w:pPr>
        <w:tabs>
          <w:tab w:val="num" w:pos="360"/>
        </w:tabs>
        <w:ind w:left="360" w:hanging="360"/>
      </w:pPr>
      <w:rPr>
        <w:rFonts w:ascii="Times New Roman" w:hAnsi="Times New Roman" w:hint="default"/>
        <w:sz w:val="16"/>
      </w:rPr>
    </w:lvl>
  </w:abstractNum>
  <w:abstractNum w:abstractNumId="40" w15:restartNumberingAfterBreak="0">
    <w:nsid w:val="731F3D69"/>
    <w:multiLevelType w:val="multilevel"/>
    <w:tmpl w:val="2A789050"/>
    <w:lvl w:ilvl="0">
      <w:start w:val="1"/>
      <w:numFmt w:val="upperLetter"/>
      <w:lvlText w:val="%1"/>
      <w:lvlJc w:val="left"/>
      <w:pPr>
        <w:tabs>
          <w:tab w:val="num" w:pos="360"/>
        </w:tabs>
        <w:ind w:left="357" w:hanging="357"/>
      </w:pPr>
      <w:rPr>
        <w:rFonts w:ascii="Times New Roman" w:hAnsi="Times New Roman" w:hint="default"/>
        <w:b w:val="0"/>
        <w:i w:val="0"/>
        <w:sz w:val="24"/>
      </w:rPr>
    </w:lvl>
    <w:lvl w:ilvl="1">
      <w:start w:val="1"/>
      <w:numFmt w:val="upperLetter"/>
      <w:lvlRestart w:val="0"/>
      <w:pStyle w:val="TOC2"/>
      <w:lvlText w:val="%2."/>
      <w:lvlJc w:val="left"/>
      <w:pPr>
        <w:tabs>
          <w:tab w:val="num" w:pos="360"/>
        </w:tabs>
        <w:ind w:left="360" w:hanging="360"/>
      </w:pPr>
      <w:rPr>
        <w:rFonts w:hint="default"/>
      </w:rPr>
    </w:lvl>
    <w:lvl w:ilvl="2">
      <w:start w:val="1"/>
      <w:numFmt w:val="bullet"/>
      <w:lvlText w:val=""/>
      <w:lvlJc w:val="left"/>
      <w:pPr>
        <w:tabs>
          <w:tab w:val="num" w:pos="1778"/>
        </w:tabs>
        <w:ind w:left="1775" w:hanging="357"/>
      </w:pPr>
      <w:rPr>
        <w:rFonts w:ascii="Wingdings" w:hAnsi="Wingdings" w:hint="default"/>
      </w:rPr>
    </w:lvl>
    <w:lvl w:ilvl="3">
      <w:start w:val="1"/>
      <w:numFmt w:val="decimal"/>
      <w:lvlText w:val="-"/>
      <w:lvlJc w:val="left"/>
      <w:pPr>
        <w:tabs>
          <w:tab w:val="num" w:pos="1440"/>
        </w:tabs>
        <w:ind w:left="1440" w:hanging="360"/>
      </w:pPr>
      <w:rPr>
        <w:rFonts w:ascii="Times NR" w:hAnsi="Times NR"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EFD7FDD"/>
    <w:multiLevelType w:val="hybridMultilevel"/>
    <w:tmpl w:val="35CEAA2E"/>
    <w:name w:val="Roman"/>
    <w:lvl w:ilvl="0" w:tplc="ABDA6458">
      <w:start w:val="1"/>
      <w:numFmt w:val="decimal"/>
      <w:pStyle w:val="ListNumber"/>
      <w:lvlText w:val="%1."/>
      <w:lvlJc w:val="left"/>
      <w:pPr>
        <w:tabs>
          <w:tab w:val="num" w:pos="360"/>
        </w:tabs>
        <w:ind w:left="360" w:hanging="360"/>
      </w:pPr>
      <w:rPr>
        <w:rFonts w:ascii="Times New Roman" w:hAnsi="Times New Roman" w:hint="default"/>
        <w:b w:val="0"/>
        <w:i w:val="0"/>
        <w:sz w:val="24"/>
        <w:szCs w:val="24"/>
      </w:rPr>
    </w:lvl>
    <w:lvl w:ilvl="1" w:tplc="1472C7CE" w:tentative="1">
      <w:start w:val="1"/>
      <w:numFmt w:val="lowerLetter"/>
      <w:lvlText w:val="%2."/>
      <w:lvlJc w:val="left"/>
      <w:pPr>
        <w:tabs>
          <w:tab w:val="num" w:pos="1440"/>
        </w:tabs>
        <w:ind w:left="1440" w:hanging="360"/>
      </w:pPr>
    </w:lvl>
    <w:lvl w:ilvl="2" w:tplc="A592680A" w:tentative="1">
      <w:start w:val="1"/>
      <w:numFmt w:val="lowerRoman"/>
      <w:lvlText w:val="%3."/>
      <w:lvlJc w:val="right"/>
      <w:pPr>
        <w:tabs>
          <w:tab w:val="num" w:pos="2160"/>
        </w:tabs>
        <w:ind w:left="2160" w:hanging="180"/>
      </w:pPr>
    </w:lvl>
    <w:lvl w:ilvl="3" w:tplc="E040A492" w:tentative="1">
      <w:start w:val="1"/>
      <w:numFmt w:val="decimal"/>
      <w:lvlText w:val="%4."/>
      <w:lvlJc w:val="left"/>
      <w:pPr>
        <w:tabs>
          <w:tab w:val="num" w:pos="2880"/>
        </w:tabs>
        <w:ind w:left="2880" w:hanging="360"/>
      </w:pPr>
    </w:lvl>
    <w:lvl w:ilvl="4" w:tplc="1E9822CC" w:tentative="1">
      <w:start w:val="1"/>
      <w:numFmt w:val="lowerLetter"/>
      <w:lvlText w:val="%5."/>
      <w:lvlJc w:val="left"/>
      <w:pPr>
        <w:tabs>
          <w:tab w:val="num" w:pos="3600"/>
        </w:tabs>
        <w:ind w:left="3600" w:hanging="360"/>
      </w:pPr>
    </w:lvl>
    <w:lvl w:ilvl="5" w:tplc="42E6E44C" w:tentative="1">
      <w:start w:val="1"/>
      <w:numFmt w:val="lowerRoman"/>
      <w:lvlText w:val="%6."/>
      <w:lvlJc w:val="right"/>
      <w:pPr>
        <w:tabs>
          <w:tab w:val="num" w:pos="4320"/>
        </w:tabs>
        <w:ind w:left="4320" w:hanging="180"/>
      </w:pPr>
    </w:lvl>
    <w:lvl w:ilvl="6" w:tplc="DBBC57FA" w:tentative="1">
      <w:start w:val="1"/>
      <w:numFmt w:val="decimal"/>
      <w:lvlText w:val="%7."/>
      <w:lvlJc w:val="left"/>
      <w:pPr>
        <w:tabs>
          <w:tab w:val="num" w:pos="5040"/>
        </w:tabs>
        <w:ind w:left="5040" w:hanging="360"/>
      </w:pPr>
    </w:lvl>
    <w:lvl w:ilvl="7" w:tplc="76FC3676" w:tentative="1">
      <w:start w:val="1"/>
      <w:numFmt w:val="lowerLetter"/>
      <w:lvlText w:val="%8."/>
      <w:lvlJc w:val="left"/>
      <w:pPr>
        <w:tabs>
          <w:tab w:val="num" w:pos="5760"/>
        </w:tabs>
        <w:ind w:left="5760" w:hanging="360"/>
      </w:pPr>
    </w:lvl>
    <w:lvl w:ilvl="8" w:tplc="AFC8125A" w:tentative="1">
      <w:start w:val="1"/>
      <w:numFmt w:val="lowerRoman"/>
      <w:lvlText w:val="%9."/>
      <w:lvlJc w:val="right"/>
      <w:pPr>
        <w:tabs>
          <w:tab w:val="num" w:pos="6480"/>
        </w:tabs>
        <w:ind w:left="6480" w:hanging="180"/>
      </w:pPr>
    </w:lvl>
  </w:abstractNum>
  <w:num w:numId="1" w16cid:durableId="1355039670">
    <w:abstractNumId w:val="23"/>
  </w:num>
  <w:num w:numId="2" w16cid:durableId="1234700827">
    <w:abstractNumId w:val="11"/>
  </w:num>
  <w:num w:numId="3" w16cid:durableId="134228121">
    <w:abstractNumId w:val="20"/>
  </w:num>
  <w:num w:numId="4" w16cid:durableId="110247856">
    <w:abstractNumId w:val="31"/>
  </w:num>
  <w:num w:numId="5" w16cid:durableId="573469816">
    <w:abstractNumId w:val="33"/>
  </w:num>
  <w:num w:numId="6" w16cid:durableId="146288157">
    <w:abstractNumId w:val="39"/>
  </w:num>
  <w:num w:numId="7" w16cid:durableId="1032341370">
    <w:abstractNumId w:val="17"/>
  </w:num>
  <w:num w:numId="8" w16cid:durableId="583995429">
    <w:abstractNumId w:val="30"/>
  </w:num>
  <w:num w:numId="9" w16cid:durableId="1403679743">
    <w:abstractNumId w:val="9"/>
  </w:num>
  <w:num w:numId="10" w16cid:durableId="302126142">
    <w:abstractNumId w:val="16"/>
  </w:num>
  <w:num w:numId="11" w16cid:durableId="838696572">
    <w:abstractNumId w:val="7"/>
  </w:num>
  <w:num w:numId="12" w16cid:durableId="1955938916">
    <w:abstractNumId w:val="32"/>
  </w:num>
  <w:num w:numId="13" w16cid:durableId="454056347">
    <w:abstractNumId w:val="22"/>
  </w:num>
  <w:num w:numId="14" w16cid:durableId="1648896856">
    <w:abstractNumId w:val="2"/>
  </w:num>
  <w:num w:numId="15" w16cid:durableId="1852337032">
    <w:abstractNumId w:val="25"/>
  </w:num>
  <w:num w:numId="16" w16cid:durableId="538661073">
    <w:abstractNumId w:val="12"/>
  </w:num>
  <w:num w:numId="17" w16cid:durableId="1705519637">
    <w:abstractNumId w:val="13"/>
  </w:num>
  <w:num w:numId="18" w16cid:durableId="1434324427">
    <w:abstractNumId w:val="27"/>
  </w:num>
  <w:num w:numId="19" w16cid:durableId="2078281243">
    <w:abstractNumId w:val="41"/>
  </w:num>
  <w:num w:numId="20" w16cid:durableId="580530363">
    <w:abstractNumId w:val="34"/>
  </w:num>
  <w:num w:numId="21" w16cid:durableId="864900460">
    <w:abstractNumId w:val="19"/>
  </w:num>
  <w:num w:numId="22" w16cid:durableId="652946987">
    <w:abstractNumId w:val="21"/>
  </w:num>
  <w:num w:numId="23" w16cid:durableId="326978370">
    <w:abstractNumId w:val="18"/>
  </w:num>
  <w:num w:numId="24" w16cid:durableId="279805944">
    <w:abstractNumId w:val="35"/>
  </w:num>
  <w:num w:numId="25" w16cid:durableId="879435784">
    <w:abstractNumId w:val="8"/>
  </w:num>
  <w:num w:numId="26" w16cid:durableId="133833330">
    <w:abstractNumId w:val="40"/>
  </w:num>
  <w:num w:numId="27" w16cid:durableId="794061059">
    <w:abstractNumId w:val="26"/>
  </w:num>
  <w:num w:numId="28" w16cid:durableId="639264196">
    <w:abstractNumId w:val="37"/>
  </w:num>
  <w:num w:numId="29" w16cid:durableId="53088493">
    <w:abstractNumId w:val="36"/>
  </w:num>
  <w:num w:numId="30" w16cid:durableId="1052573">
    <w:abstractNumId w:val="29"/>
  </w:num>
  <w:num w:numId="31" w16cid:durableId="1866408353">
    <w:abstractNumId w:val="1"/>
  </w:num>
  <w:num w:numId="32" w16cid:durableId="484904148">
    <w:abstractNumId w:val="0"/>
  </w:num>
  <w:num w:numId="33" w16cid:durableId="916599500">
    <w:abstractNumId w:val="4"/>
  </w:num>
  <w:num w:numId="34" w16cid:durableId="886914548">
    <w:abstractNumId w:val="3"/>
  </w:num>
  <w:num w:numId="35" w16cid:durableId="369764577">
    <w:abstractNumId w:val="6"/>
  </w:num>
  <w:num w:numId="36" w16cid:durableId="353046181">
    <w:abstractNumId w:val="15"/>
  </w:num>
  <w:num w:numId="37" w16cid:durableId="635526482">
    <w:abstractNumId w:val="26"/>
  </w:num>
  <w:num w:numId="38" w16cid:durableId="1879705997">
    <w:abstractNumId w:val="27"/>
  </w:num>
  <w:num w:numId="39" w16cid:durableId="422149269">
    <w:abstractNumId w:val="27"/>
  </w:num>
  <w:num w:numId="40" w16cid:durableId="1259408520">
    <w:abstractNumId w:val="27"/>
  </w:num>
  <w:num w:numId="41" w16cid:durableId="1593272133">
    <w:abstractNumId w:val="14"/>
  </w:num>
  <w:num w:numId="42" w16cid:durableId="540173172">
    <w:abstractNumId w:val="26"/>
  </w:num>
  <w:num w:numId="43" w16cid:durableId="175585961">
    <w:abstractNumId w:val="26"/>
  </w:num>
  <w:num w:numId="44" w16cid:durableId="634872536">
    <w:abstractNumId w:val="27"/>
  </w:num>
  <w:num w:numId="45" w16cid:durableId="1179081623">
    <w:abstractNumId w:val="24"/>
  </w:num>
  <w:num w:numId="46" w16cid:durableId="1580484477">
    <w:abstractNumId w:val="5"/>
  </w:num>
  <w:num w:numId="47" w16cid:durableId="294605155">
    <w:abstractNumId w:val="10"/>
  </w:num>
  <w:num w:numId="48" w16cid:durableId="903294937">
    <w:abstractNumId w:val="28"/>
  </w:num>
  <w:num w:numId="49" w16cid:durableId="1457871805">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425"/>
  <w:drawingGridHorizontalSpacing w:val="11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6"/>
    <w:rsid w:val="0000220C"/>
    <w:rsid w:val="0000768D"/>
    <w:rsid w:val="00017097"/>
    <w:rsid w:val="00021A70"/>
    <w:rsid w:val="00023A98"/>
    <w:rsid w:val="00031BC3"/>
    <w:rsid w:val="00035051"/>
    <w:rsid w:val="0003524A"/>
    <w:rsid w:val="00045CE6"/>
    <w:rsid w:val="00046062"/>
    <w:rsid w:val="000473DE"/>
    <w:rsid w:val="00052803"/>
    <w:rsid w:val="000607CA"/>
    <w:rsid w:val="0006591E"/>
    <w:rsid w:val="00071572"/>
    <w:rsid w:val="00073755"/>
    <w:rsid w:val="000773E7"/>
    <w:rsid w:val="00077F4D"/>
    <w:rsid w:val="00083FEB"/>
    <w:rsid w:val="00085075"/>
    <w:rsid w:val="00085D4F"/>
    <w:rsid w:val="00085E71"/>
    <w:rsid w:val="000A0D5B"/>
    <w:rsid w:val="000A5719"/>
    <w:rsid w:val="000B1672"/>
    <w:rsid w:val="000B2A97"/>
    <w:rsid w:val="000B2EA6"/>
    <w:rsid w:val="000C0BFF"/>
    <w:rsid w:val="000D1507"/>
    <w:rsid w:val="000E2A10"/>
    <w:rsid w:val="000E6067"/>
    <w:rsid w:val="000F12CC"/>
    <w:rsid w:val="000F179B"/>
    <w:rsid w:val="0010425F"/>
    <w:rsid w:val="00105588"/>
    <w:rsid w:val="0010634D"/>
    <w:rsid w:val="001116F4"/>
    <w:rsid w:val="00126B62"/>
    <w:rsid w:val="00130F25"/>
    <w:rsid w:val="00132982"/>
    <w:rsid w:val="00134C6B"/>
    <w:rsid w:val="0013552D"/>
    <w:rsid w:val="001407D1"/>
    <w:rsid w:val="00144FC7"/>
    <w:rsid w:val="00157779"/>
    <w:rsid w:val="00161E91"/>
    <w:rsid w:val="0016609C"/>
    <w:rsid w:val="00172117"/>
    <w:rsid w:val="0018028D"/>
    <w:rsid w:val="00183C41"/>
    <w:rsid w:val="001851A6"/>
    <w:rsid w:val="001911FF"/>
    <w:rsid w:val="001941E8"/>
    <w:rsid w:val="00194D7A"/>
    <w:rsid w:val="00195BF9"/>
    <w:rsid w:val="001A18C0"/>
    <w:rsid w:val="001B30BA"/>
    <w:rsid w:val="001B7DF1"/>
    <w:rsid w:val="001C00E9"/>
    <w:rsid w:val="001C3367"/>
    <w:rsid w:val="001C62EB"/>
    <w:rsid w:val="001C759F"/>
    <w:rsid w:val="001D3538"/>
    <w:rsid w:val="001D3FAD"/>
    <w:rsid w:val="001D5D0E"/>
    <w:rsid w:val="001D6C8A"/>
    <w:rsid w:val="001D7F36"/>
    <w:rsid w:val="001E46E5"/>
    <w:rsid w:val="001E5E36"/>
    <w:rsid w:val="001F125B"/>
    <w:rsid w:val="001F41B7"/>
    <w:rsid w:val="001F5710"/>
    <w:rsid w:val="00204732"/>
    <w:rsid w:val="0021276F"/>
    <w:rsid w:val="00215870"/>
    <w:rsid w:val="00221BF2"/>
    <w:rsid w:val="002245A5"/>
    <w:rsid w:val="0022574E"/>
    <w:rsid w:val="00232242"/>
    <w:rsid w:val="002330E5"/>
    <w:rsid w:val="00234A06"/>
    <w:rsid w:val="002477AF"/>
    <w:rsid w:val="00250BF0"/>
    <w:rsid w:val="00261086"/>
    <w:rsid w:val="002740DE"/>
    <w:rsid w:val="00275CC2"/>
    <w:rsid w:val="00282E7C"/>
    <w:rsid w:val="00283175"/>
    <w:rsid w:val="00291B33"/>
    <w:rsid w:val="002A0AC7"/>
    <w:rsid w:val="002A4014"/>
    <w:rsid w:val="002A51D4"/>
    <w:rsid w:val="002A70EF"/>
    <w:rsid w:val="002A7980"/>
    <w:rsid w:val="002A7CBE"/>
    <w:rsid w:val="002B1368"/>
    <w:rsid w:val="002B372B"/>
    <w:rsid w:val="002B76FB"/>
    <w:rsid w:val="002C1661"/>
    <w:rsid w:val="002C18E0"/>
    <w:rsid w:val="002C4A01"/>
    <w:rsid w:val="002D15CD"/>
    <w:rsid w:val="002D5BC3"/>
    <w:rsid w:val="002D5D82"/>
    <w:rsid w:val="002D73B7"/>
    <w:rsid w:val="002E0FC6"/>
    <w:rsid w:val="002E24ED"/>
    <w:rsid w:val="002F0E47"/>
    <w:rsid w:val="002F2EC0"/>
    <w:rsid w:val="002F6A88"/>
    <w:rsid w:val="00301366"/>
    <w:rsid w:val="003037FD"/>
    <w:rsid w:val="003066B5"/>
    <w:rsid w:val="0030734E"/>
    <w:rsid w:val="00312899"/>
    <w:rsid w:val="0031452F"/>
    <w:rsid w:val="00316EE0"/>
    <w:rsid w:val="00323B1A"/>
    <w:rsid w:val="00327519"/>
    <w:rsid w:val="00330C84"/>
    <w:rsid w:val="00332C4C"/>
    <w:rsid w:val="00333FD7"/>
    <w:rsid w:val="00334349"/>
    <w:rsid w:val="003352EB"/>
    <w:rsid w:val="003353BD"/>
    <w:rsid w:val="00335A58"/>
    <w:rsid w:val="00337226"/>
    <w:rsid w:val="00340828"/>
    <w:rsid w:val="00340E5D"/>
    <w:rsid w:val="0034467C"/>
    <w:rsid w:val="00344B10"/>
    <w:rsid w:val="00346E8D"/>
    <w:rsid w:val="00351E24"/>
    <w:rsid w:val="00352DA6"/>
    <w:rsid w:val="003615B3"/>
    <w:rsid w:val="00364209"/>
    <w:rsid w:val="00364A87"/>
    <w:rsid w:val="003716DA"/>
    <w:rsid w:val="0037464E"/>
    <w:rsid w:val="003836F6"/>
    <w:rsid w:val="003855A2"/>
    <w:rsid w:val="00387E58"/>
    <w:rsid w:val="003A6DBB"/>
    <w:rsid w:val="003B1383"/>
    <w:rsid w:val="003C271C"/>
    <w:rsid w:val="003C2EB6"/>
    <w:rsid w:val="003C381D"/>
    <w:rsid w:val="003D3494"/>
    <w:rsid w:val="003D4AF3"/>
    <w:rsid w:val="003D5425"/>
    <w:rsid w:val="003E107A"/>
    <w:rsid w:val="003E2B95"/>
    <w:rsid w:val="003E2D09"/>
    <w:rsid w:val="003E7CDB"/>
    <w:rsid w:val="003F37A3"/>
    <w:rsid w:val="00400247"/>
    <w:rsid w:val="00400CD4"/>
    <w:rsid w:val="00401FAC"/>
    <w:rsid w:val="004114D7"/>
    <w:rsid w:val="00414ED2"/>
    <w:rsid w:val="0042080C"/>
    <w:rsid w:val="00420D81"/>
    <w:rsid w:val="00426108"/>
    <w:rsid w:val="00426545"/>
    <w:rsid w:val="00426922"/>
    <w:rsid w:val="004273F4"/>
    <w:rsid w:val="00430577"/>
    <w:rsid w:val="00430FD4"/>
    <w:rsid w:val="00433CC2"/>
    <w:rsid w:val="00436CA6"/>
    <w:rsid w:val="0044149F"/>
    <w:rsid w:val="00441F89"/>
    <w:rsid w:val="00452A9B"/>
    <w:rsid w:val="0045546B"/>
    <w:rsid w:val="004614A8"/>
    <w:rsid w:val="00462CD1"/>
    <w:rsid w:val="00466E83"/>
    <w:rsid w:val="0046796B"/>
    <w:rsid w:val="00470E27"/>
    <w:rsid w:val="00473D24"/>
    <w:rsid w:val="00482961"/>
    <w:rsid w:val="00484690"/>
    <w:rsid w:val="00484763"/>
    <w:rsid w:val="0048657F"/>
    <w:rsid w:val="00490EAF"/>
    <w:rsid w:val="004916B4"/>
    <w:rsid w:val="00494996"/>
    <w:rsid w:val="004A1FEF"/>
    <w:rsid w:val="004A373D"/>
    <w:rsid w:val="004A534D"/>
    <w:rsid w:val="004A77E8"/>
    <w:rsid w:val="004B4F38"/>
    <w:rsid w:val="004B77D0"/>
    <w:rsid w:val="004B7AF6"/>
    <w:rsid w:val="004C400D"/>
    <w:rsid w:val="004C682A"/>
    <w:rsid w:val="004D2964"/>
    <w:rsid w:val="004D3138"/>
    <w:rsid w:val="004D3CD1"/>
    <w:rsid w:val="004E013A"/>
    <w:rsid w:val="004E2C0D"/>
    <w:rsid w:val="004E6F27"/>
    <w:rsid w:val="004E7449"/>
    <w:rsid w:val="004E7671"/>
    <w:rsid w:val="004F3D13"/>
    <w:rsid w:val="004F66A0"/>
    <w:rsid w:val="004F6885"/>
    <w:rsid w:val="004F75DB"/>
    <w:rsid w:val="0050028B"/>
    <w:rsid w:val="00504BF7"/>
    <w:rsid w:val="00510E60"/>
    <w:rsid w:val="00514436"/>
    <w:rsid w:val="0051571A"/>
    <w:rsid w:val="00516EEE"/>
    <w:rsid w:val="00522916"/>
    <w:rsid w:val="00523681"/>
    <w:rsid w:val="00523B05"/>
    <w:rsid w:val="00524DFA"/>
    <w:rsid w:val="00531977"/>
    <w:rsid w:val="005373C9"/>
    <w:rsid w:val="00541C8A"/>
    <w:rsid w:val="00546D95"/>
    <w:rsid w:val="00554229"/>
    <w:rsid w:val="00560AC9"/>
    <w:rsid w:val="0056555C"/>
    <w:rsid w:val="005660B9"/>
    <w:rsid w:val="00571A26"/>
    <w:rsid w:val="00576AF4"/>
    <w:rsid w:val="00580856"/>
    <w:rsid w:val="005868E8"/>
    <w:rsid w:val="0058746D"/>
    <w:rsid w:val="0059453B"/>
    <w:rsid w:val="00596F4B"/>
    <w:rsid w:val="005A242D"/>
    <w:rsid w:val="005A40A9"/>
    <w:rsid w:val="005B3814"/>
    <w:rsid w:val="005B59FB"/>
    <w:rsid w:val="005C2D06"/>
    <w:rsid w:val="005C30AC"/>
    <w:rsid w:val="005C4112"/>
    <w:rsid w:val="005D1C9B"/>
    <w:rsid w:val="005D3044"/>
    <w:rsid w:val="005E09EE"/>
    <w:rsid w:val="005E2CD4"/>
    <w:rsid w:val="005E3111"/>
    <w:rsid w:val="005F0E30"/>
    <w:rsid w:val="005F10C7"/>
    <w:rsid w:val="005F5AC4"/>
    <w:rsid w:val="005F628A"/>
    <w:rsid w:val="00603770"/>
    <w:rsid w:val="0061141F"/>
    <w:rsid w:val="00611DC7"/>
    <w:rsid w:val="00617255"/>
    <w:rsid w:val="006212AD"/>
    <w:rsid w:val="00622E40"/>
    <w:rsid w:val="00626302"/>
    <w:rsid w:val="0062640F"/>
    <w:rsid w:val="00627B37"/>
    <w:rsid w:val="006312BF"/>
    <w:rsid w:val="00633F05"/>
    <w:rsid w:val="006371D9"/>
    <w:rsid w:val="00640B26"/>
    <w:rsid w:val="006465F5"/>
    <w:rsid w:val="00655790"/>
    <w:rsid w:val="00655812"/>
    <w:rsid w:val="0065781E"/>
    <w:rsid w:val="00657D46"/>
    <w:rsid w:val="00660A2F"/>
    <w:rsid w:val="00662233"/>
    <w:rsid w:val="00667003"/>
    <w:rsid w:val="00675D8A"/>
    <w:rsid w:val="00681CEA"/>
    <w:rsid w:val="00682712"/>
    <w:rsid w:val="0068338B"/>
    <w:rsid w:val="00687C7F"/>
    <w:rsid w:val="00693A04"/>
    <w:rsid w:val="006959F2"/>
    <w:rsid w:val="00696F11"/>
    <w:rsid w:val="006B6066"/>
    <w:rsid w:val="006C2416"/>
    <w:rsid w:val="006C301D"/>
    <w:rsid w:val="006C7B6A"/>
    <w:rsid w:val="006D3F1D"/>
    <w:rsid w:val="006D43C2"/>
    <w:rsid w:val="006E03E1"/>
    <w:rsid w:val="006E151D"/>
    <w:rsid w:val="006E6C85"/>
    <w:rsid w:val="006F51B0"/>
    <w:rsid w:val="006F7BF9"/>
    <w:rsid w:val="00700704"/>
    <w:rsid w:val="00701816"/>
    <w:rsid w:val="00702E18"/>
    <w:rsid w:val="007057E0"/>
    <w:rsid w:val="00712714"/>
    <w:rsid w:val="00712876"/>
    <w:rsid w:val="00714E73"/>
    <w:rsid w:val="00722940"/>
    <w:rsid w:val="00722F9D"/>
    <w:rsid w:val="0072374C"/>
    <w:rsid w:val="00725F14"/>
    <w:rsid w:val="00734896"/>
    <w:rsid w:val="00740858"/>
    <w:rsid w:val="00742030"/>
    <w:rsid w:val="007421EB"/>
    <w:rsid w:val="00744F61"/>
    <w:rsid w:val="00745F29"/>
    <w:rsid w:val="00747A78"/>
    <w:rsid w:val="00765F94"/>
    <w:rsid w:val="00770FD3"/>
    <w:rsid w:val="00773FE3"/>
    <w:rsid w:val="00777C10"/>
    <w:rsid w:val="00780520"/>
    <w:rsid w:val="00780848"/>
    <w:rsid w:val="007829D8"/>
    <w:rsid w:val="0078397C"/>
    <w:rsid w:val="00783B54"/>
    <w:rsid w:val="0079175A"/>
    <w:rsid w:val="007A668A"/>
    <w:rsid w:val="007B15EE"/>
    <w:rsid w:val="007C1C48"/>
    <w:rsid w:val="007C2EA7"/>
    <w:rsid w:val="007C44DE"/>
    <w:rsid w:val="007C63B2"/>
    <w:rsid w:val="007D4AF0"/>
    <w:rsid w:val="007D77D5"/>
    <w:rsid w:val="007D7A94"/>
    <w:rsid w:val="007E1635"/>
    <w:rsid w:val="007E2172"/>
    <w:rsid w:val="007E59C7"/>
    <w:rsid w:val="007E609C"/>
    <w:rsid w:val="007E767A"/>
    <w:rsid w:val="007E7686"/>
    <w:rsid w:val="007F23E8"/>
    <w:rsid w:val="00800BC5"/>
    <w:rsid w:val="00802700"/>
    <w:rsid w:val="008053AD"/>
    <w:rsid w:val="008057CB"/>
    <w:rsid w:val="00812EDB"/>
    <w:rsid w:val="008137E3"/>
    <w:rsid w:val="00815503"/>
    <w:rsid w:val="00823CC3"/>
    <w:rsid w:val="00826496"/>
    <w:rsid w:val="00830400"/>
    <w:rsid w:val="00831A01"/>
    <w:rsid w:val="00832FC7"/>
    <w:rsid w:val="00834983"/>
    <w:rsid w:val="00834FCF"/>
    <w:rsid w:val="008414B8"/>
    <w:rsid w:val="008417EC"/>
    <w:rsid w:val="00845BDA"/>
    <w:rsid w:val="0085014B"/>
    <w:rsid w:val="0085126A"/>
    <w:rsid w:val="00852E1A"/>
    <w:rsid w:val="00857E07"/>
    <w:rsid w:val="00864613"/>
    <w:rsid w:val="008672B5"/>
    <w:rsid w:val="00871440"/>
    <w:rsid w:val="0087277C"/>
    <w:rsid w:val="00873F95"/>
    <w:rsid w:val="00880386"/>
    <w:rsid w:val="008822AD"/>
    <w:rsid w:val="008845BE"/>
    <w:rsid w:val="00885199"/>
    <w:rsid w:val="008900D9"/>
    <w:rsid w:val="008907DB"/>
    <w:rsid w:val="00891D97"/>
    <w:rsid w:val="008A553B"/>
    <w:rsid w:val="008B1CC4"/>
    <w:rsid w:val="008B3A1A"/>
    <w:rsid w:val="008B4EC2"/>
    <w:rsid w:val="008B5F22"/>
    <w:rsid w:val="008B6E45"/>
    <w:rsid w:val="008C574D"/>
    <w:rsid w:val="008C65CF"/>
    <w:rsid w:val="008D359D"/>
    <w:rsid w:val="008D4C32"/>
    <w:rsid w:val="008D50D4"/>
    <w:rsid w:val="008E07DC"/>
    <w:rsid w:val="008E0A8E"/>
    <w:rsid w:val="008E3D6C"/>
    <w:rsid w:val="008E5A63"/>
    <w:rsid w:val="008E68FA"/>
    <w:rsid w:val="008F0C71"/>
    <w:rsid w:val="008F1049"/>
    <w:rsid w:val="008F2278"/>
    <w:rsid w:val="008F3C7A"/>
    <w:rsid w:val="008F604B"/>
    <w:rsid w:val="008F6941"/>
    <w:rsid w:val="008F6B14"/>
    <w:rsid w:val="009071C3"/>
    <w:rsid w:val="00910A97"/>
    <w:rsid w:val="00911D42"/>
    <w:rsid w:val="00912FFD"/>
    <w:rsid w:val="009135D1"/>
    <w:rsid w:val="00915881"/>
    <w:rsid w:val="00917297"/>
    <w:rsid w:val="00920CED"/>
    <w:rsid w:val="00931334"/>
    <w:rsid w:val="009340F9"/>
    <w:rsid w:val="0094056D"/>
    <w:rsid w:val="00942329"/>
    <w:rsid w:val="00943438"/>
    <w:rsid w:val="00944056"/>
    <w:rsid w:val="009528B0"/>
    <w:rsid w:val="00960358"/>
    <w:rsid w:val="00960A9A"/>
    <w:rsid w:val="00965FA0"/>
    <w:rsid w:val="00972EEA"/>
    <w:rsid w:val="009733B9"/>
    <w:rsid w:val="00973A65"/>
    <w:rsid w:val="00976793"/>
    <w:rsid w:val="009773E2"/>
    <w:rsid w:val="00990D8D"/>
    <w:rsid w:val="009A5097"/>
    <w:rsid w:val="009A7DF6"/>
    <w:rsid w:val="009B266B"/>
    <w:rsid w:val="009B2E5D"/>
    <w:rsid w:val="009B33D0"/>
    <w:rsid w:val="009C5A7F"/>
    <w:rsid w:val="009C68F5"/>
    <w:rsid w:val="009D4DD3"/>
    <w:rsid w:val="009D79A0"/>
    <w:rsid w:val="009D7CF6"/>
    <w:rsid w:val="009E0026"/>
    <w:rsid w:val="009E223A"/>
    <w:rsid w:val="009E62C1"/>
    <w:rsid w:val="009E7553"/>
    <w:rsid w:val="009F02B7"/>
    <w:rsid w:val="009F3B85"/>
    <w:rsid w:val="00A01334"/>
    <w:rsid w:val="00A02FE4"/>
    <w:rsid w:val="00A060BF"/>
    <w:rsid w:val="00A11AA6"/>
    <w:rsid w:val="00A2252A"/>
    <w:rsid w:val="00A31797"/>
    <w:rsid w:val="00A35062"/>
    <w:rsid w:val="00A46CC3"/>
    <w:rsid w:val="00A52446"/>
    <w:rsid w:val="00A53FF9"/>
    <w:rsid w:val="00A64394"/>
    <w:rsid w:val="00A71E3E"/>
    <w:rsid w:val="00A73657"/>
    <w:rsid w:val="00A737A1"/>
    <w:rsid w:val="00A832A4"/>
    <w:rsid w:val="00A914C4"/>
    <w:rsid w:val="00A93400"/>
    <w:rsid w:val="00A93B4F"/>
    <w:rsid w:val="00AA19E8"/>
    <w:rsid w:val="00AA29A7"/>
    <w:rsid w:val="00AA2FEB"/>
    <w:rsid w:val="00AA3ED3"/>
    <w:rsid w:val="00AA650B"/>
    <w:rsid w:val="00AA742D"/>
    <w:rsid w:val="00AB42BE"/>
    <w:rsid w:val="00AB4790"/>
    <w:rsid w:val="00AB78D8"/>
    <w:rsid w:val="00AC0881"/>
    <w:rsid w:val="00AC30DB"/>
    <w:rsid w:val="00AC6B07"/>
    <w:rsid w:val="00AC723E"/>
    <w:rsid w:val="00AC73C9"/>
    <w:rsid w:val="00AE20AE"/>
    <w:rsid w:val="00AF43C1"/>
    <w:rsid w:val="00AF4F61"/>
    <w:rsid w:val="00AF6467"/>
    <w:rsid w:val="00AF7E94"/>
    <w:rsid w:val="00B037AF"/>
    <w:rsid w:val="00B044BE"/>
    <w:rsid w:val="00B20A1A"/>
    <w:rsid w:val="00B22756"/>
    <w:rsid w:val="00B33943"/>
    <w:rsid w:val="00B33C1A"/>
    <w:rsid w:val="00B365D7"/>
    <w:rsid w:val="00B370FD"/>
    <w:rsid w:val="00B41423"/>
    <w:rsid w:val="00B5119E"/>
    <w:rsid w:val="00B5212E"/>
    <w:rsid w:val="00B52C8F"/>
    <w:rsid w:val="00B55BB9"/>
    <w:rsid w:val="00B56EE5"/>
    <w:rsid w:val="00B7107D"/>
    <w:rsid w:val="00B732DA"/>
    <w:rsid w:val="00B736EA"/>
    <w:rsid w:val="00B85B77"/>
    <w:rsid w:val="00B91568"/>
    <w:rsid w:val="00B91A59"/>
    <w:rsid w:val="00B9277D"/>
    <w:rsid w:val="00B93103"/>
    <w:rsid w:val="00B94DFD"/>
    <w:rsid w:val="00B96973"/>
    <w:rsid w:val="00B96A53"/>
    <w:rsid w:val="00B96FC5"/>
    <w:rsid w:val="00B971C6"/>
    <w:rsid w:val="00BA03F0"/>
    <w:rsid w:val="00BB0926"/>
    <w:rsid w:val="00BB236F"/>
    <w:rsid w:val="00BB3CEB"/>
    <w:rsid w:val="00BB3EDE"/>
    <w:rsid w:val="00BB6885"/>
    <w:rsid w:val="00BC4430"/>
    <w:rsid w:val="00BC4D13"/>
    <w:rsid w:val="00BD2864"/>
    <w:rsid w:val="00BD638C"/>
    <w:rsid w:val="00BD76A2"/>
    <w:rsid w:val="00BE1E92"/>
    <w:rsid w:val="00BE2485"/>
    <w:rsid w:val="00BF30A6"/>
    <w:rsid w:val="00C023D6"/>
    <w:rsid w:val="00C04A4E"/>
    <w:rsid w:val="00C059AE"/>
    <w:rsid w:val="00C06BBE"/>
    <w:rsid w:val="00C21752"/>
    <w:rsid w:val="00C24A43"/>
    <w:rsid w:val="00C35CD4"/>
    <w:rsid w:val="00C43099"/>
    <w:rsid w:val="00C479B3"/>
    <w:rsid w:val="00C50172"/>
    <w:rsid w:val="00C52A39"/>
    <w:rsid w:val="00C54DB2"/>
    <w:rsid w:val="00C56391"/>
    <w:rsid w:val="00C56C25"/>
    <w:rsid w:val="00C603DE"/>
    <w:rsid w:val="00C60771"/>
    <w:rsid w:val="00C63651"/>
    <w:rsid w:val="00C67125"/>
    <w:rsid w:val="00C723A1"/>
    <w:rsid w:val="00C74988"/>
    <w:rsid w:val="00C77C67"/>
    <w:rsid w:val="00C81D4D"/>
    <w:rsid w:val="00C84FB8"/>
    <w:rsid w:val="00C8635F"/>
    <w:rsid w:val="00C904A9"/>
    <w:rsid w:val="00C96052"/>
    <w:rsid w:val="00CA1489"/>
    <w:rsid w:val="00CB52E4"/>
    <w:rsid w:val="00CB6020"/>
    <w:rsid w:val="00CC0662"/>
    <w:rsid w:val="00CD03F0"/>
    <w:rsid w:val="00CD14B6"/>
    <w:rsid w:val="00CD2FF7"/>
    <w:rsid w:val="00CD7DA6"/>
    <w:rsid w:val="00CF04D1"/>
    <w:rsid w:val="00CF1728"/>
    <w:rsid w:val="00CF2E61"/>
    <w:rsid w:val="00CF3B59"/>
    <w:rsid w:val="00CF6304"/>
    <w:rsid w:val="00CF6BBA"/>
    <w:rsid w:val="00CF75DF"/>
    <w:rsid w:val="00D037EC"/>
    <w:rsid w:val="00D10C52"/>
    <w:rsid w:val="00D20215"/>
    <w:rsid w:val="00D21478"/>
    <w:rsid w:val="00D22A41"/>
    <w:rsid w:val="00D30251"/>
    <w:rsid w:val="00D308C3"/>
    <w:rsid w:val="00D3139D"/>
    <w:rsid w:val="00D3568C"/>
    <w:rsid w:val="00D45397"/>
    <w:rsid w:val="00D50F3F"/>
    <w:rsid w:val="00D64CEB"/>
    <w:rsid w:val="00D67C08"/>
    <w:rsid w:val="00D8095E"/>
    <w:rsid w:val="00D8668C"/>
    <w:rsid w:val="00D86905"/>
    <w:rsid w:val="00D90A7D"/>
    <w:rsid w:val="00D9169F"/>
    <w:rsid w:val="00D919BF"/>
    <w:rsid w:val="00DA114E"/>
    <w:rsid w:val="00DA2D7D"/>
    <w:rsid w:val="00DA57DF"/>
    <w:rsid w:val="00DA6921"/>
    <w:rsid w:val="00DA6941"/>
    <w:rsid w:val="00DB0ADC"/>
    <w:rsid w:val="00DB1AE8"/>
    <w:rsid w:val="00DB38F1"/>
    <w:rsid w:val="00DB48A9"/>
    <w:rsid w:val="00DB55D3"/>
    <w:rsid w:val="00DC1B5D"/>
    <w:rsid w:val="00DC26D7"/>
    <w:rsid w:val="00DD216C"/>
    <w:rsid w:val="00DD2299"/>
    <w:rsid w:val="00DE600C"/>
    <w:rsid w:val="00DF3A6A"/>
    <w:rsid w:val="00E00A1D"/>
    <w:rsid w:val="00E019E2"/>
    <w:rsid w:val="00E01CC4"/>
    <w:rsid w:val="00E0682F"/>
    <w:rsid w:val="00E13403"/>
    <w:rsid w:val="00E22C7E"/>
    <w:rsid w:val="00E25603"/>
    <w:rsid w:val="00E26413"/>
    <w:rsid w:val="00E27042"/>
    <w:rsid w:val="00E30522"/>
    <w:rsid w:val="00E3426D"/>
    <w:rsid w:val="00E42301"/>
    <w:rsid w:val="00E53481"/>
    <w:rsid w:val="00E5369E"/>
    <w:rsid w:val="00E56331"/>
    <w:rsid w:val="00E571C7"/>
    <w:rsid w:val="00E63859"/>
    <w:rsid w:val="00E65B8E"/>
    <w:rsid w:val="00E66C5B"/>
    <w:rsid w:val="00E670FF"/>
    <w:rsid w:val="00E678E3"/>
    <w:rsid w:val="00E70CED"/>
    <w:rsid w:val="00E740D6"/>
    <w:rsid w:val="00E77A28"/>
    <w:rsid w:val="00E844C6"/>
    <w:rsid w:val="00E90313"/>
    <w:rsid w:val="00EA2565"/>
    <w:rsid w:val="00EA48EE"/>
    <w:rsid w:val="00EA5C4E"/>
    <w:rsid w:val="00EA5FC3"/>
    <w:rsid w:val="00EB24CD"/>
    <w:rsid w:val="00EB287C"/>
    <w:rsid w:val="00EB4DD8"/>
    <w:rsid w:val="00EB7AC2"/>
    <w:rsid w:val="00EC13CA"/>
    <w:rsid w:val="00EC148C"/>
    <w:rsid w:val="00EC501B"/>
    <w:rsid w:val="00EC6D8D"/>
    <w:rsid w:val="00EC6F70"/>
    <w:rsid w:val="00EC723E"/>
    <w:rsid w:val="00EC76FF"/>
    <w:rsid w:val="00EC7EA3"/>
    <w:rsid w:val="00ED3E92"/>
    <w:rsid w:val="00ED3FB5"/>
    <w:rsid w:val="00ED4A67"/>
    <w:rsid w:val="00EE069B"/>
    <w:rsid w:val="00EE19DB"/>
    <w:rsid w:val="00EE39DB"/>
    <w:rsid w:val="00EF2BF4"/>
    <w:rsid w:val="00EF47E9"/>
    <w:rsid w:val="00F033BF"/>
    <w:rsid w:val="00F04120"/>
    <w:rsid w:val="00F0592A"/>
    <w:rsid w:val="00F1005E"/>
    <w:rsid w:val="00F12DE1"/>
    <w:rsid w:val="00F16E64"/>
    <w:rsid w:val="00F21EC6"/>
    <w:rsid w:val="00F22C53"/>
    <w:rsid w:val="00F2627D"/>
    <w:rsid w:val="00F30F04"/>
    <w:rsid w:val="00F35DE7"/>
    <w:rsid w:val="00F36759"/>
    <w:rsid w:val="00F42659"/>
    <w:rsid w:val="00F508AE"/>
    <w:rsid w:val="00F50D4F"/>
    <w:rsid w:val="00F52F44"/>
    <w:rsid w:val="00F5448B"/>
    <w:rsid w:val="00F54BDE"/>
    <w:rsid w:val="00F55DA8"/>
    <w:rsid w:val="00F56244"/>
    <w:rsid w:val="00F70608"/>
    <w:rsid w:val="00F72C01"/>
    <w:rsid w:val="00F75B1F"/>
    <w:rsid w:val="00F76556"/>
    <w:rsid w:val="00F77B28"/>
    <w:rsid w:val="00F84133"/>
    <w:rsid w:val="00F85738"/>
    <w:rsid w:val="00F86C87"/>
    <w:rsid w:val="00F86CE4"/>
    <w:rsid w:val="00F90C43"/>
    <w:rsid w:val="00F94AC7"/>
    <w:rsid w:val="00F976BE"/>
    <w:rsid w:val="00FA71A2"/>
    <w:rsid w:val="00FB229D"/>
    <w:rsid w:val="00FB4E3E"/>
    <w:rsid w:val="00FC2FC6"/>
    <w:rsid w:val="00FC7E67"/>
    <w:rsid w:val="00FD07FD"/>
    <w:rsid w:val="00FD18EA"/>
    <w:rsid w:val="00FD1958"/>
    <w:rsid w:val="00FD2ED5"/>
    <w:rsid w:val="00FD2FCF"/>
    <w:rsid w:val="00FD3E3E"/>
    <w:rsid w:val="00FD7D48"/>
    <w:rsid w:val="00FE2791"/>
    <w:rsid w:val="00FE51F4"/>
    <w:rsid w:val="00FE5279"/>
    <w:rsid w:val="00FE65A5"/>
    <w:rsid w:val="00FE681B"/>
    <w:rsid w:val="00FF015C"/>
    <w:rsid w:val="00FF5D16"/>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BE0F985"/>
  <w15:chartTrackingRefBased/>
  <w15:docId w15:val="{A8CB3C61-BF43-4755-BECF-28D3BE9C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0C7"/>
    <w:pPr>
      <w:spacing w:after="240"/>
    </w:pPr>
    <w:rPr>
      <w:rFonts w:ascii="Arial" w:hAnsi="Arial"/>
      <w:sz w:val="22"/>
    </w:rPr>
  </w:style>
  <w:style w:type="paragraph" w:styleId="Heading1">
    <w:name w:val="heading 1"/>
    <w:basedOn w:val="Normal"/>
    <w:next w:val="OutlineNum2"/>
    <w:qFormat/>
    <w:rsid w:val="005F10C7"/>
    <w:pPr>
      <w:keepNext/>
      <w:numPr>
        <w:numId w:val="15"/>
      </w:numPr>
      <w:spacing w:before="60"/>
      <w:outlineLvl w:val="0"/>
    </w:pPr>
    <w:rPr>
      <w:rFonts w:ascii="Arial Black" w:hAnsi="Arial Black"/>
      <w:sz w:val="28"/>
    </w:rPr>
  </w:style>
  <w:style w:type="paragraph" w:styleId="Heading2">
    <w:name w:val="heading 2"/>
    <w:basedOn w:val="Normal"/>
    <w:next w:val="Normal"/>
    <w:qFormat/>
    <w:rsid w:val="005F10C7"/>
    <w:pPr>
      <w:keepNext/>
      <w:numPr>
        <w:ilvl w:val="1"/>
        <w:numId w:val="15"/>
      </w:numPr>
      <w:spacing w:after="480"/>
      <w:outlineLvl w:val="1"/>
    </w:pPr>
    <w:rPr>
      <w:rFonts w:ascii="Arial Black" w:hAnsi="Arial Black"/>
      <w:sz w:val="24"/>
    </w:rPr>
  </w:style>
  <w:style w:type="paragraph" w:styleId="Heading3">
    <w:name w:val="heading 3"/>
    <w:basedOn w:val="Normal"/>
    <w:next w:val="Normal"/>
    <w:qFormat/>
    <w:rsid w:val="005F10C7"/>
    <w:pPr>
      <w:keepNext/>
      <w:numPr>
        <w:ilvl w:val="2"/>
        <w:numId w:val="15"/>
      </w:numPr>
      <w:outlineLvl w:val="2"/>
    </w:pPr>
    <w:rPr>
      <w:rFonts w:ascii="Arial Black" w:hAnsi="Arial Black"/>
      <w:sz w:val="24"/>
    </w:rPr>
  </w:style>
  <w:style w:type="paragraph" w:styleId="Heading4">
    <w:name w:val="heading 4"/>
    <w:basedOn w:val="Normal"/>
    <w:next w:val="Normal"/>
    <w:qFormat/>
    <w:rsid w:val="005F10C7"/>
    <w:pPr>
      <w:keepNext/>
      <w:numPr>
        <w:ilvl w:val="3"/>
        <w:numId w:val="15"/>
      </w:numPr>
      <w:outlineLvl w:val="3"/>
    </w:pPr>
    <w:rPr>
      <w:b/>
      <w:sz w:val="24"/>
    </w:rPr>
  </w:style>
  <w:style w:type="paragraph" w:styleId="Heading5">
    <w:name w:val="heading 5"/>
    <w:basedOn w:val="Normal"/>
    <w:next w:val="Normal"/>
    <w:qFormat/>
    <w:rsid w:val="005F10C7"/>
    <w:pPr>
      <w:numPr>
        <w:ilvl w:val="4"/>
        <w:numId w:val="15"/>
      </w:numPr>
      <w:spacing w:after="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ase"/>
    <w:rsid w:val="005F10C7"/>
    <w:pPr>
      <w:tabs>
        <w:tab w:val="center" w:pos="4153"/>
        <w:tab w:val="right" w:pos="8306"/>
      </w:tabs>
    </w:pPr>
  </w:style>
  <w:style w:type="paragraph" w:customStyle="1" w:styleId="Legalcopy">
    <w:name w:val="Legal copy"/>
    <w:basedOn w:val="Base"/>
    <w:rsid w:val="005F10C7"/>
    <w:pPr>
      <w:framePr w:hSpace="187" w:vSpace="187" w:wrap="around" w:hAnchor="text" w:yAlign="bottom"/>
      <w:spacing w:after="90" w:line="130" w:lineRule="exact"/>
    </w:pPr>
    <w:rPr>
      <w:sz w:val="11"/>
    </w:rPr>
  </w:style>
  <w:style w:type="paragraph" w:styleId="Footer">
    <w:name w:val="footer"/>
    <w:basedOn w:val="Base"/>
    <w:rsid w:val="005F10C7"/>
    <w:pPr>
      <w:tabs>
        <w:tab w:val="center" w:pos="4153"/>
        <w:tab w:val="right" w:pos="8306"/>
      </w:tabs>
      <w:spacing w:line="240" w:lineRule="atLeast"/>
    </w:pPr>
  </w:style>
  <w:style w:type="character" w:styleId="PageNumber">
    <w:name w:val="page number"/>
    <w:rsid w:val="005F10C7"/>
    <w:rPr>
      <w:rFonts w:ascii="Times New Roman" w:hAnsi="Times New Roman"/>
      <w:b w:val="0"/>
      <w:i w:val="0"/>
      <w:smallCaps w:val="0"/>
      <w:sz w:val="20"/>
      <w:u w:val="none"/>
    </w:rPr>
  </w:style>
  <w:style w:type="paragraph" w:customStyle="1" w:styleId="Filestamp">
    <w:name w:val="Filestamp"/>
    <w:basedOn w:val="Base"/>
    <w:rsid w:val="005F10C7"/>
    <w:pPr>
      <w:spacing w:before="460" w:line="240" w:lineRule="atLeast"/>
    </w:pPr>
    <w:rPr>
      <w:sz w:val="10"/>
    </w:rPr>
  </w:style>
  <w:style w:type="paragraph" w:styleId="FootnoteText">
    <w:name w:val="footnote text"/>
    <w:basedOn w:val="Normal"/>
    <w:semiHidden/>
    <w:rsid w:val="005F10C7"/>
    <w:rPr>
      <w:sz w:val="18"/>
    </w:rPr>
  </w:style>
  <w:style w:type="paragraph" w:customStyle="1" w:styleId="LetterDate">
    <w:name w:val="Letter Date"/>
    <w:basedOn w:val="Base"/>
    <w:next w:val="ReportTitle"/>
    <w:rsid w:val="005F10C7"/>
    <w:pPr>
      <w:spacing w:line="360" w:lineRule="exact"/>
    </w:pPr>
    <w:rPr>
      <w:rFonts w:ascii="Times New Roman" w:hAnsi="Times New Roman"/>
      <w:sz w:val="28"/>
    </w:rPr>
  </w:style>
  <w:style w:type="paragraph" w:customStyle="1" w:styleId="TableLogoText">
    <w:name w:val="Table Logo Text"/>
    <w:basedOn w:val="Base"/>
    <w:rsid w:val="005F10C7"/>
    <w:pPr>
      <w:spacing w:line="240" w:lineRule="atLeast"/>
    </w:pPr>
    <w:rPr>
      <w:sz w:val="24"/>
    </w:rPr>
  </w:style>
  <w:style w:type="paragraph" w:customStyle="1" w:styleId="ReportTitle">
    <w:name w:val="Report Title"/>
    <w:basedOn w:val="Base"/>
    <w:next w:val="ClientName"/>
    <w:rsid w:val="005F10C7"/>
    <w:pPr>
      <w:spacing w:before="300" w:line="520" w:lineRule="atLeast"/>
    </w:pPr>
    <w:rPr>
      <w:rFonts w:ascii="Arial Black" w:hAnsi="Arial Black"/>
      <w:sz w:val="44"/>
    </w:rPr>
  </w:style>
  <w:style w:type="paragraph" w:customStyle="1" w:styleId="ClientName">
    <w:name w:val="Client Name"/>
    <w:basedOn w:val="Base"/>
    <w:rsid w:val="005F10C7"/>
    <w:pPr>
      <w:spacing w:line="520" w:lineRule="atLeast"/>
    </w:pPr>
    <w:rPr>
      <w:sz w:val="44"/>
    </w:rPr>
  </w:style>
  <w:style w:type="paragraph" w:customStyle="1" w:styleId="ReportCrossRef">
    <w:name w:val="Report Cross Ref"/>
    <w:basedOn w:val="Base"/>
    <w:rsid w:val="005F10C7"/>
    <w:pPr>
      <w:spacing w:line="200" w:lineRule="atLeast"/>
    </w:pPr>
    <w:rPr>
      <w:rFonts w:ascii="Arial Black" w:hAnsi="Arial Black"/>
    </w:rPr>
  </w:style>
  <w:style w:type="paragraph" w:customStyle="1" w:styleId="TableHeadingText">
    <w:name w:val="Table Heading Text"/>
    <w:basedOn w:val="Normal"/>
    <w:rsid w:val="005F10C7"/>
    <w:pPr>
      <w:ind w:left="187" w:right="187"/>
    </w:pPr>
    <w:rPr>
      <w:rFonts w:ascii="Arial Black" w:hAnsi="Arial Black"/>
      <w:sz w:val="18"/>
    </w:rPr>
  </w:style>
  <w:style w:type="paragraph" w:customStyle="1" w:styleId="ClientNameCrossRef">
    <w:name w:val="Client Name Cross Ref"/>
    <w:basedOn w:val="Base"/>
    <w:rsid w:val="005F10C7"/>
    <w:pPr>
      <w:spacing w:after="180" w:line="200" w:lineRule="atLeast"/>
    </w:pPr>
  </w:style>
  <w:style w:type="paragraph" w:styleId="TOC1">
    <w:name w:val="toc 1"/>
    <w:basedOn w:val="Normal"/>
    <w:next w:val="Normal"/>
    <w:semiHidden/>
    <w:rsid w:val="005F10C7"/>
    <w:pPr>
      <w:numPr>
        <w:numId w:val="25"/>
      </w:numPr>
      <w:tabs>
        <w:tab w:val="right" w:leader="dot" w:pos="8640"/>
      </w:tabs>
      <w:spacing w:after="180"/>
    </w:pPr>
  </w:style>
  <w:style w:type="paragraph" w:styleId="TOC2">
    <w:name w:val="toc 2"/>
    <w:basedOn w:val="Normal"/>
    <w:next w:val="NormalSingle"/>
    <w:semiHidden/>
    <w:rsid w:val="005F10C7"/>
    <w:pPr>
      <w:numPr>
        <w:ilvl w:val="1"/>
        <w:numId w:val="26"/>
      </w:numPr>
      <w:tabs>
        <w:tab w:val="right" w:leader="dot" w:pos="8640"/>
      </w:tabs>
      <w:spacing w:after="180"/>
      <w:outlineLvl w:val="1"/>
    </w:pPr>
    <w:rPr>
      <w:szCs w:val="24"/>
    </w:rPr>
  </w:style>
  <w:style w:type="paragraph" w:customStyle="1" w:styleId="SectionIntro">
    <w:name w:val="Section Intro"/>
    <w:basedOn w:val="Normal"/>
    <w:rsid w:val="005F10C7"/>
    <w:pPr>
      <w:spacing w:line="360" w:lineRule="atLeast"/>
    </w:pPr>
    <w:rPr>
      <w:sz w:val="28"/>
    </w:rPr>
  </w:style>
  <w:style w:type="paragraph" w:customStyle="1" w:styleId="AppendixStart">
    <w:name w:val="Appendix Start"/>
    <w:basedOn w:val="Normal"/>
    <w:next w:val="AppendixHeading"/>
    <w:rsid w:val="005F10C7"/>
    <w:pPr>
      <w:pageBreakBefore/>
      <w:numPr>
        <w:numId w:val="2"/>
      </w:numPr>
      <w:pBdr>
        <w:top w:val="single" w:sz="12" w:space="1" w:color="auto"/>
        <w:left w:val="single" w:sz="12" w:space="9" w:color="auto"/>
        <w:bottom w:val="single" w:sz="12" w:space="1" w:color="auto"/>
        <w:right w:val="single" w:sz="12" w:space="0" w:color="auto"/>
      </w:pBdr>
      <w:spacing w:before="1500" w:after="480" w:line="1820" w:lineRule="exact"/>
      <w:ind w:right="6840"/>
    </w:pPr>
    <w:rPr>
      <w:position w:val="2"/>
    </w:rPr>
  </w:style>
  <w:style w:type="paragraph" w:styleId="NoteHeading">
    <w:name w:val="Note Heading"/>
    <w:basedOn w:val="Normal"/>
    <w:next w:val="NoteText"/>
    <w:rsid w:val="005F10C7"/>
    <w:pPr>
      <w:spacing w:before="200" w:after="0" w:line="200" w:lineRule="atLeast"/>
    </w:pPr>
    <w:rPr>
      <w:rFonts w:ascii="Arial Black" w:hAnsi="Arial Black"/>
      <w:sz w:val="16"/>
    </w:rPr>
  </w:style>
  <w:style w:type="paragraph" w:customStyle="1" w:styleId="NoteText">
    <w:name w:val="Note Text"/>
    <w:basedOn w:val="Normal"/>
    <w:rsid w:val="005F10C7"/>
    <w:pPr>
      <w:spacing w:after="0" w:line="200" w:lineRule="atLeast"/>
    </w:pPr>
    <w:rPr>
      <w:sz w:val="18"/>
    </w:rPr>
  </w:style>
  <w:style w:type="character" w:styleId="FootnoteReference">
    <w:name w:val="footnote reference"/>
    <w:semiHidden/>
    <w:rsid w:val="005F10C7"/>
    <w:rPr>
      <w:rFonts w:ascii="Arial" w:hAnsi="Arial"/>
      <w:sz w:val="18"/>
      <w:vertAlign w:val="superscript"/>
    </w:rPr>
  </w:style>
  <w:style w:type="paragraph" w:customStyle="1" w:styleId="SectionStart">
    <w:name w:val="Section Start"/>
    <w:basedOn w:val="Normal"/>
    <w:next w:val="Heading1"/>
    <w:rsid w:val="005F10C7"/>
    <w:pPr>
      <w:pageBreakBefore/>
      <w:pBdr>
        <w:top w:val="single" w:sz="12" w:space="1" w:color="auto"/>
        <w:left w:val="single" w:sz="12" w:space="9" w:color="auto"/>
        <w:bottom w:val="single" w:sz="12" w:space="1" w:color="auto"/>
        <w:right w:val="single" w:sz="12" w:space="0" w:color="auto"/>
      </w:pBdr>
      <w:tabs>
        <w:tab w:val="left" w:pos="547"/>
      </w:tabs>
      <w:spacing w:before="1500" w:after="480" w:line="1820" w:lineRule="exact"/>
      <w:ind w:right="6840"/>
    </w:pPr>
    <w:rPr>
      <w:rFonts w:ascii="Arial Black" w:hAnsi="Arial Black"/>
      <w:noProof/>
      <w:position w:val="-18"/>
      <w:sz w:val="48"/>
    </w:rPr>
  </w:style>
  <w:style w:type="paragraph" w:customStyle="1" w:styleId="Bullet2">
    <w:name w:val="Bullet 2"/>
    <w:basedOn w:val="Normal"/>
    <w:rsid w:val="005F10C7"/>
    <w:pPr>
      <w:numPr>
        <w:numId w:val="4"/>
      </w:numPr>
    </w:pPr>
  </w:style>
  <w:style w:type="paragraph" w:customStyle="1" w:styleId="Bullet1">
    <w:name w:val="Bullet 1"/>
    <w:basedOn w:val="Normal"/>
    <w:rsid w:val="005F10C7"/>
    <w:pPr>
      <w:numPr>
        <w:numId w:val="3"/>
      </w:numPr>
    </w:pPr>
  </w:style>
  <w:style w:type="paragraph" w:customStyle="1" w:styleId="Bullet3">
    <w:name w:val="Bullet 3"/>
    <w:basedOn w:val="Normal"/>
    <w:rsid w:val="005F10C7"/>
    <w:pPr>
      <w:numPr>
        <w:numId w:val="5"/>
      </w:numPr>
    </w:pPr>
  </w:style>
  <w:style w:type="paragraph" w:customStyle="1" w:styleId="Bullet4">
    <w:name w:val="Bullet 4"/>
    <w:basedOn w:val="Normal"/>
    <w:rsid w:val="005F10C7"/>
    <w:pPr>
      <w:numPr>
        <w:numId w:val="6"/>
      </w:numPr>
    </w:pPr>
  </w:style>
  <w:style w:type="paragraph" w:customStyle="1" w:styleId="TableText">
    <w:name w:val="Table Text"/>
    <w:basedOn w:val="Normal"/>
    <w:rsid w:val="005F10C7"/>
    <w:pPr>
      <w:spacing w:before="120" w:after="120" w:line="200" w:lineRule="atLeast"/>
      <w:ind w:left="187" w:right="187"/>
    </w:pPr>
    <w:rPr>
      <w:sz w:val="20"/>
    </w:rPr>
  </w:style>
  <w:style w:type="paragraph" w:customStyle="1" w:styleId="StyleParagraphHeadingLatinBold">
    <w:name w:val="Style Paragraph Heading + (Latin) Bold"/>
    <w:basedOn w:val="ParagraphHeading"/>
    <w:rsid w:val="00021A70"/>
  </w:style>
  <w:style w:type="paragraph" w:styleId="TOCHeading">
    <w:name w:val="TOC Heading"/>
    <w:basedOn w:val="Normal"/>
    <w:next w:val="Normal"/>
    <w:qFormat/>
    <w:rsid w:val="005F10C7"/>
    <w:pPr>
      <w:tabs>
        <w:tab w:val="right" w:pos="8647"/>
      </w:tabs>
      <w:spacing w:before="300"/>
    </w:pPr>
    <w:rPr>
      <w:rFonts w:ascii="Arial Black" w:hAnsi="Arial Black"/>
      <w:sz w:val="28"/>
    </w:rPr>
  </w:style>
  <w:style w:type="paragraph" w:customStyle="1" w:styleId="Base">
    <w:name w:val="Base"/>
    <w:rsid w:val="005F10C7"/>
    <w:rPr>
      <w:rFonts w:ascii="Arial" w:hAnsi="Arial"/>
      <w:noProof/>
      <w:sz w:val="16"/>
    </w:rPr>
  </w:style>
  <w:style w:type="paragraph" w:customStyle="1" w:styleId="Heading1A">
    <w:name w:val="Heading 1A"/>
    <w:basedOn w:val="Heading1"/>
    <w:next w:val="Heading2"/>
    <w:rsid w:val="005F10C7"/>
    <w:pPr>
      <w:numPr>
        <w:numId w:val="0"/>
      </w:numPr>
      <w:tabs>
        <w:tab w:val="num" w:pos="0"/>
      </w:tabs>
      <w:spacing w:after="0"/>
    </w:pPr>
  </w:style>
  <w:style w:type="paragraph" w:customStyle="1" w:styleId="Heading3A">
    <w:name w:val="Heading 3A"/>
    <w:basedOn w:val="Heading3"/>
    <w:next w:val="Heading4"/>
    <w:rsid w:val="005F10C7"/>
    <w:pPr>
      <w:numPr>
        <w:ilvl w:val="0"/>
        <w:numId w:val="0"/>
      </w:numPr>
      <w:tabs>
        <w:tab w:val="num" w:pos="0"/>
      </w:tabs>
      <w:spacing w:after="0"/>
    </w:pPr>
  </w:style>
  <w:style w:type="paragraph" w:customStyle="1" w:styleId="LogoHide">
    <w:name w:val="Logo Hide"/>
    <w:basedOn w:val="Normal"/>
    <w:next w:val="Base"/>
    <w:rsid w:val="005F10C7"/>
    <w:pPr>
      <w:spacing w:line="20" w:lineRule="exact"/>
    </w:pPr>
    <w:rPr>
      <w:sz w:val="2"/>
    </w:rPr>
  </w:style>
  <w:style w:type="character" w:customStyle="1" w:styleId="TextHide">
    <w:name w:val="Text Hide"/>
    <w:basedOn w:val="DefaultParagraphFont"/>
    <w:rsid w:val="005F10C7"/>
  </w:style>
  <w:style w:type="paragraph" w:styleId="ListBullet">
    <w:name w:val="List Bullet"/>
    <w:basedOn w:val="Normal"/>
    <w:rsid w:val="005F10C7"/>
    <w:pPr>
      <w:numPr>
        <w:numId w:val="18"/>
      </w:numPr>
      <w:outlineLvl w:val="0"/>
    </w:pPr>
  </w:style>
  <w:style w:type="paragraph" w:styleId="ListBullet2">
    <w:name w:val="List Bullet 2"/>
    <w:basedOn w:val="Normal"/>
    <w:rsid w:val="005F10C7"/>
    <w:pPr>
      <w:numPr>
        <w:ilvl w:val="1"/>
        <w:numId w:val="18"/>
      </w:numPr>
      <w:outlineLvl w:val="1"/>
    </w:pPr>
  </w:style>
  <w:style w:type="paragraph" w:styleId="ListBullet3">
    <w:name w:val="List Bullet 3"/>
    <w:basedOn w:val="Normal"/>
    <w:rsid w:val="005F10C7"/>
    <w:pPr>
      <w:numPr>
        <w:ilvl w:val="2"/>
        <w:numId w:val="18"/>
      </w:numPr>
      <w:outlineLvl w:val="2"/>
    </w:pPr>
  </w:style>
  <w:style w:type="paragraph" w:styleId="ListBullet4">
    <w:name w:val="List Bullet 4"/>
    <w:basedOn w:val="Normal"/>
    <w:rsid w:val="005F10C7"/>
    <w:pPr>
      <w:numPr>
        <w:ilvl w:val="3"/>
        <w:numId w:val="18"/>
      </w:numPr>
      <w:outlineLvl w:val="3"/>
    </w:pPr>
  </w:style>
  <w:style w:type="paragraph" w:styleId="ListNumber">
    <w:name w:val="List Number"/>
    <w:basedOn w:val="Normal"/>
    <w:rsid w:val="005F10C7"/>
    <w:pPr>
      <w:numPr>
        <w:numId w:val="19"/>
      </w:numPr>
      <w:outlineLvl w:val="5"/>
    </w:pPr>
    <w:rPr>
      <w:szCs w:val="24"/>
    </w:rPr>
  </w:style>
  <w:style w:type="paragraph" w:styleId="ListNumber2">
    <w:name w:val="List Number 2"/>
    <w:basedOn w:val="Normal"/>
    <w:rsid w:val="005F10C7"/>
    <w:pPr>
      <w:numPr>
        <w:ilvl w:val="6"/>
        <w:numId w:val="20"/>
      </w:numPr>
      <w:spacing w:line="300" w:lineRule="atLeast"/>
      <w:outlineLvl w:val="6"/>
    </w:pPr>
  </w:style>
  <w:style w:type="paragraph" w:styleId="ListNumber3">
    <w:name w:val="List Number 3"/>
    <w:basedOn w:val="Normal"/>
    <w:rsid w:val="005F10C7"/>
    <w:pPr>
      <w:numPr>
        <w:ilvl w:val="7"/>
        <w:numId w:val="20"/>
      </w:numPr>
      <w:spacing w:line="300" w:lineRule="atLeast"/>
      <w:outlineLvl w:val="7"/>
    </w:pPr>
  </w:style>
  <w:style w:type="paragraph" w:styleId="ListNumber4">
    <w:name w:val="List Number 4"/>
    <w:basedOn w:val="Normal"/>
    <w:rsid w:val="005F10C7"/>
    <w:pPr>
      <w:numPr>
        <w:ilvl w:val="8"/>
        <w:numId w:val="20"/>
      </w:numPr>
      <w:spacing w:line="300" w:lineRule="atLeast"/>
      <w:outlineLvl w:val="8"/>
    </w:pPr>
  </w:style>
  <w:style w:type="paragraph" w:customStyle="1" w:styleId="HeadingNumber1">
    <w:name w:val="Heading Number 1"/>
    <w:basedOn w:val="Normal"/>
    <w:next w:val="NormalIndent2"/>
    <w:rsid w:val="005F10C7"/>
    <w:pPr>
      <w:numPr>
        <w:numId w:val="16"/>
      </w:numPr>
      <w:outlineLvl w:val="0"/>
    </w:pPr>
    <w:rPr>
      <w:rFonts w:ascii="Arial Black" w:hAnsi="Arial Black"/>
    </w:rPr>
  </w:style>
  <w:style w:type="paragraph" w:customStyle="1" w:styleId="HeadingNumber2">
    <w:name w:val="Heading Number 2"/>
    <w:basedOn w:val="Normal"/>
    <w:next w:val="NormalIndent2"/>
    <w:rsid w:val="005F10C7"/>
    <w:pPr>
      <w:numPr>
        <w:ilvl w:val="1"/>
        <w:numId w:val="16"/>
      </w:numPr>
      <w:outlineLvl w:val="1"/>
    </w:pPr>
  </w:style>
  <w:style w:type="paragraph" w:customStyle="1" w:styleId="HeadingNumber3">
    <w:name w:val="Heading Number 3"/>
    <w:basedOn w:val="Normal"/>
    <w:next w:val="NormalIndent2"/>
    <w:rsid w:val="005F10C7"/>
    <w:pPr>
      <w:numPr>
        <w:ilvl w:val="2"/>
        <w:numId w:val="16"/>
      </w:numPr>
      <w:outlineLvl w:val="2"/>
    </w:pPr>
    <w:rPr>
      <w:rFonts w:ascii="Arial Black" w:hAnsi="Arial Black"/>
      <w:sz w:val="20"/>
    </w:rPr>
  </w:style>
  <w:style w:type="paragraph" w:customStyle="1" w:styleId="HeadingNumber4">
    <w:name w:val="Heading Number 4"/>
    <w:basedOn w:val="Normal"/>
    <w:next w:val="NormalIndent2"/>
    <w:rsid w:val="005F10C7"/>
    <w:pPr>
      <w:numPr>
        <w:ilvl w:val="3"/>
        <w:numId w:val="16"/>
      </w:numPr>
      <w:outlineLvl w:val="3"/>
    </w:pPr>
    <w:rPr>
      <w:sz w:val="20"/>
    </w:rPr>
  </w:style>
  <w:style w:type="paragraph" w:customStyle="1" w:styleId="NormalIndent1">
    <w:name w:val="Normal Indent 1"/>
    <w:basedOn w:val="Normal"/>
    <w:rsid w:val="005F10C7"/>
    <w:pPr>
      <w:ind w:left="360"/>
    </w:pPr>
  </w:style>
  <w:style w:type="paragraph" w:customStyle="1" w:styleId="NormalIndent2">
    <w:name w:val="Normal Indent 2"/>
    <w:basedOn w:val="Normal"/>
    <w:rsid w:val="005F10C7"/>
    <w:pPr>
      <w:ind w:left="360"/>
    </w:pPr>
  </w:style>
  <w:style w:type="paragraph" w:customStyle="1" w:styleId="NormalIndent3">
    <w:name w:val="Normal Indent 3"/>
    <w:basedOn w:val="Normal"/>
    <w:link w:val="NormalIndent3Char"/>
    <w:rsid w:val="005F10C7"/>
    <w:pPr>
      <w:ind w:left="720"/>
    </w:pPr>
  </w:style>
  <w:style w:type="paragraph" w:customStyle="1" w:styleId="NormalIndent4">
    <w:name w:val="Normal Indent 4"/>
    <w:basedOn w:val="Normal"/>
    <w:rsid w:val="000B2EA6"/>
    <w:pPr>
      <w:ind w:left="1080"/>
    </w:pPr>
  </w:style>
  <w:style w:type="paragraph" w:styleId="TOC3">
    <w:name w:val="toc 3"/>
    <w:basedOn w:val="Normal"/>
    <w:next w:val="NormalSingle"/>
    <w:semiHidden/>
    <w:rsid w:val="005F10C7"/>
    <w:pPr>
      <w:tabs>
        <w:tab w:val="right" w:leader="dot" w:pos="8640"/>
      </w:tabs>
      <w:spacing w:after="120"/>
    </w:pPr>
  </w:style>
  <w:style w:type="paragraph" w:customStyle="1" w:styleId="OutlineNum2">
    <w:name w:val="Outline Num 2"/>
    <w:basedOn w:val="Normal"/>
    <w:rsid w:val="00D8668C"/>
    <w:pPr>
      <w:numPr>
        <w:ilvl w:val="1"/>
        <w:numId w:val="27"/>
      </w:numPr>
      <w:outlineLvl w:val="1"/>
    </w:pPr>
  </w:style>
  <w:style w:type="paragraph" w:customStyle="1" w:styleId="OutlineNum3">
    <w:name w:val="Outline Num 3"/>
    <w:basedOn w:val="Normal"/>
    <w:rsid w:val="00D8668C"/>
    <w:pPr>
      <w:numPr>
        <w:ilvl w:val="2"/>
        <w:numId w:val="27"/>
      </w:numPr>
      <w:outlineLvl w:val="2"/>
    </w:pPr>
  </w:style>
  <w:style w:type="paragraph" w:customStyle="1" w:styleId="DashBullet">
    <w:name w:val="Dash Bullet"/>
    <w:basedOn w:val="Normal"/>
    <w:rsid w:val="005F10C7"/>
    <w:pPr>
      <w:numPr>
        <w:numId w:val="10"/>
      </w:numPr>
      <w:spacing w:line="300" w:lineRule="atLeast"/>
      <w:outlineLvl w:val="0"/>
    </w:pPr>
  </w:style>
  <w:style w:type="paragraph" w:customStyle="1" w:styleId="DashBullet2">
    <w:name w:val="Dash Bullet 2"/>
    <w:basedOn w:val="Normal"/>
    <w:rsid w:val="00161E91"/>
    <w:pPr>
      <w:numPr>
        <w:ilvl w:val="1"/>
        <w:numId w:val="11"/>
      </w:numPr>
      <w:outlineLvl w:val="1"/>
    </w:pPr>
  </w:style>
  <w:style w:type="paragraph" w:customStyle="1" w:styleId="DashBullet3">
    <w:name w:val="Dash Bullet 3"/>
    <w:basedOn w:val="Normal"/>
    <w:rsid w:val="00161E91"/>
    <w:pPr>
      <w:numPr>
        <w:ilvl w:val="2"/>
        <w:numId w:val="11"/>
      </w:numPr>
      <w:outlineLvl w:val="2"/>
    </w:pPr>
  </w:style>
  <w:style w:type="paragraph" w:customStyle="1" w:styleId="DashBullet4">
    <w:name w:val="Dash Bullet 4"/>
    <w:basedOn w:val="Normal"/>
    <w:rsid w:val="00161E91"/>
    <w:pPr>
      <w:numPr>
        <w:ilvl w:val="3"/>
        <w:numId w:val="11"/>
      </w:numPr>
      <w:outlineLvl w:val="3"/>
    </w:pPr>
  </w:style>
  <w:style w:type="paragraph" w:customStyle="1" w:styleId="AlphaList">
    <w:name w:val="Alpha List"/>
    <w:basedOn w:val="Normal"/>
    <w:rsid w:val="005F10C7"/>
    <w:pPr>
      <w:numPr>
        <w:numId w:val="1"/>
      </w:numPr>
      <w:outlineLvl w:val="0"/>
    </w:pPr>
  </w:style>
  <w:style w:type="paragraph" w:customStyle="1" w:styleId="AlphaList2">
    <w:name w:val="Alpha List 2"/>
    <w:basedOn w:val="Normal"/>
    <w:rsid w:val="005F10C7"/>
    <w:pPr>
      <w:numPr>
        <w:ilvl w:val="1"/>
        <w:numId w:val="1"/>
      </w:numPr>
      <w:outlineLvl w:val="1"/>
    </w:pPr>
  </w:style>
  <w:style w:type="paragraph" w:customStyle="1" w:styleId="AlphaList3">
    <w:name w:val="Alpha List 3"/>
    <w:basedOn w:val="Normal"/>
    <w:rsid w:val="00C023D6"/>
    <w:pPr>
      <w:numPr>
        <w:ilvl w:val="2"/>
        <w:numId w:val="1"/>
      </w:numPr>
      <w:ind w:left="714" w:hanging="357"/>
      <w:outlineLvl w:val="2"/>
    </w:pPr>
  </w:style>
  <w:style w:type="paragraph" w:customStyle="1" w:styleId="NormalSingle">
    <w:name w:val="Normal Single"/>
    <w:basedOn w:val="Normal"/>
    <w:rsid w:val="005F10C7"/>
    <w:pPr>
      <w:spacing w:after="0"/>
    </w:pPr>
  </w:style>
  <w:style w:type="paragraph" w:customStyle="1" w:styleId="BulletSingle">
    <w:name w:val="Bullet Single"/>
    <w:basedOn w:val="NormalSingle"/>
    <w:rsid w:val="005F10C7"/>
    <w:pPr>
      <w:numPr>
        <w:numId w:val="7"/>
      </w:numPr>
      <w:outlineLvl w:val="0"/>
    </w:pPr>
  </w:style>
  <w:style w:type="paragraph" w:customStyle="1" w:styleId="BulletSingle2">
    <w:name w:val="Bullet Single 2"/>
    <w:basedOn w:val="NormalSingle"/>
    <w:rsid w:val="005F10C7"/>
    <w:pPr>
      <w:numPr>
        <w:ilvl w:val="1"/>
        <w:numId w:val="7"/>
      </w:numPr>
      <w:outlineLvl w:val="1"/>
    </w:pPr>
  </w:style>
  <w:style w:type="paragraph" w:customStyle="1" w:styleId="BulletSingle3">
    <w:name w:val="Bullet Single 3"/>
    <w:basedOn w:val="NormalSingle"/>
    <w:rsid w:val="005F10C7"/>
    <w:pPr>
      <w:numPr>
        <w:ilvl w:val="2"/>
        <w:numId w:val="7"/>
      </w:numPr>
      <w:outlineLvl w:val="2"/>
    </w:pPr>
  </w:style>
  <w:style w:type="paragraph" w:styleId="TOC4">
    <w:name w:val="toc 4"/>
    <w:basedOn w:val="Normal"/>
    <w:next w:val="Normal"/>
    <w:autoRedefine/>
    <w:semiHidden/>
    <w:rsid w:val="005F10C7"/>
    <w:pPr>
      <w:ind w:left="720"/>
    </w:pPr>
  </w:style>
  <w:style w:type="paragraph" w:styleId="TOC5">
    <w:name w:val="toc 5"/>
    <w:basedOn w:val="Normal"/>
    <w:next w:val="Normal"/>
    <w:autoRedefine/>
    <w:semiHidden/>
    <w:rsid w:val="005F10C7"/>
    <w:pPr>
      <w:ind w:left="960"/>
    </w:pPr>
  </w:style>
  <w:style w:type="paragraph" w:styleId="TOC6">
    <w:name w:val="toc 6"/>
    <w:basedOn w:val="Normal"/>
    <w:next w:val="Normal"/>
    <w:autoRedefine/>
    <w:semiHidden/>
    <w:rsid w:val="005F10C7"/>
    <w:pPr>
      <w:ind w:left="1200"/>
    </w:pPr>
  </w:style>
  <w:style w:type="paragraph" w:styleId="TOC7">
    <w:name w:val="toc 7"/>
    <w:basedOn w:val="Normal"/>
    <w:next w:val="Normal"/>
    <w:autoRedefine/>
    <w:semiHidden/>
    <w:rsid w:val="005F10C7"/>
    <w:pPr>
      <w:ind w:left="1440"/>
    </w:pPr>
  </w:style>
  <w:style w:type="paragraph" w:styleId="TOC8">
    <w:name w:val="toc 8"/>
    <w:basedOn w:val="Normal"/>
    <w:next w:val="Normal"/>
    <w:autoRedefine/>
    <w:semiHidden/>
    <w:rsid w:val="005F10C7"/>
    <w:pPr>
      <w:ind w:left="1680"/>
    </w:pPr>
  </w:style>
  <w:style w:type="paragraph" w:styleId="TOC9">
    <w:name w:val="toc 9"/>
    <w:basedOn w:val="Normal"/>
    <w:next w:val="Normal"/>
    <w:autoRedefine/>
    <w:semiHidden/>
    <w:rsid w:val="005F10C7"/>
    <w:pPr>
      <w:ind w:left="1920"/>
    </w:pPr>
  </w:style>
  <w:style w:type="paragraph" w:customStyle="1" w:styleId="TitleFooter">
    <w:name w:val="Title: Footer"/>
    <w:basedOn w:val="Normal"/>
    <w:rsid w:val="005F10C7"/>
    <w:pPr>
      <w:suppressLineNumbers/>
      <w:suppressAutoHyphens/>
      <w:spacing w:after="0"/>
    </w:pPr>
    <w:rPr>
      <w:sz w:val="20"/>
    </w:rPr>
  </w:style>
  <w:style w:type="paragraph" w:customStyle="1" w:styleId="AppendixHeading">
    <w:name w:val="Appendix Heading"/>
    <w:basedOn w:val="Heading1"/>
    <w:next w:val="AppendixNum"/>
    <w:rsid w:val="005F10C7"/>
    <w:pPr>
      <w:numPr>
        <w:numId w:val="0"/>
      </w:numPr>
      <w:tabs>
        <w:tab w:val="num" w:pos="0"/>
      </w:tabs>
    </w:pPr>
  </w:style>
  <w:style w:type="paragraph" w:customStyle="1" w:styleId="TOCHeading3">
    <w:name w:val="TOC Heading 3"/>
    <w:basedOn w:val="TOCHeading"/>
    <w:next w:val="Normal"/>
    <w:rsid w:val="00E63859"/>
  </w:style>
  <w:style w:type="paragraph" w:customStyle="1" w:styleId="TOCHeading2">
    <w:name w:val="TOC Heading 2"/>
    <w:basedOn w:val="TOCHeading"/>
    <w:next w:val="TOC2"/>
    <w:rsid w:val="005F10C7"/>
  </w:style>
  <w:style w:type="paragraph" w:customStyle="1" w:styleId="AppendixNum">
    <w:name w:val="Appendix Num"/>
    <w:basedOn w:val="Normal"/>
    <w:rsid w:val="005F10C7"/>
    <w:pPr>
      <w:numPr>
        <w:ilvl w:val="1"/>
        <w:numId w:val="2"/>
      </w:numPr>
      <w:outlineLvl w:val="1"/>
    </w:pPr>
  </w:style>
  <w:style w:type="paragraph" w:customStyle="1" w:styleId="CertificateNum">
    <w:name w:val="Certificate Num"/>
    <w:basedOn w:val="Normal"/>
    <w:rsid w:val="005F10C7"/>
    <w:pPr>
      <w:numPr>
        <w:ilvl w:val="1"/>
        <w:numId w:val="8"/>
      </w:numPr>
      <w:outlineLvl w:val="1"/>
    </w:pPr>
  </w:style>
  <w:style w:type="paragraph" w:customStyle="1" w:styleId="BulletSingle4">
    <w:name w:val="Bullet Single 4"/>
    <w:basedOn w:val="BulletSingle"/>
    <w:rsid w:val="005F10C7"/>
    <w:pPr>
      <w:numPr>
        <w:ilvl w:val="3"/>
      </w:numPr>
      <w:outlineLvl w:val="3"/>
    </w:pPr>
  </w:style>
  <w:style w:type="paragraph" w:customStyle="1" w:styleId="AlphaList4">
    <w:name w:val="Alpha List 4"/>
    <w:basedOn w:val="AlphaList"/>
    <w:rsid w:val="005F10C7"/>
    <w:pPr>
      <w:numPr>
        <w:ilvl w:val="3"/>
      </w:numPr>
      <w:outlineLvl w:val="3"/>
    </w:pPr>
  </w:style>
  <w:style w:type="paragraph" w:customStyle="1" w:styleId="ParagraphHeading">
    <w:name w:val="Paragraph Heading"/>
    <w:basedOn w:val="Normal"/>
    <w:next w:val="Normal"/>
    <w:rsid w:val="003353BD"/>
    <w:rPr>
      <w:rFonts w:ascii="Arial Black" w:hAnsi="Arial Black"/>
      <w:szCs w:val="23"/>
    </w:rPr>
  </w:style>
  <w:style w:type="paragraph" w:customStyle="1" w:styleId="RomanList">
    <w:name w:val="Roman List"/>
    <w:basedOn w:val="Normal"/>
    <w:link w:val="RomanListChar"/>
    <w:rsid w:val="005F10C7"/>
    <w:pPr>
      <w:numPr>
        <w:numId w:val="22"/>
      </w:numPr>
      <w:tabs>
        <w:tab w:val="left" w:pos="360"/>
      </w:tabs>
      <w:outlineLvl w:val="0"/>
    </w:pPr>
  </w:style>
  <w:style w:type="paragraph" w:customStyle="1" w:styleId="RomanList2">
    <w:name w:val="Roman List 2"/>
    <w:basedOn w:val="AlphaList"/>
    <w:rsid w:val="005F10C7"/>
    <w:pPr>
      <w:numPr>
        <w:ilvl w:val="1"/>
        <w:numId w:val="22"/>
      </w:numPr>
      <w:outlineLvl w:val="1"/>
    </w:pPr>
  </w:style>
  <w:style w:type="paragraph" w:customStyle="1" w:styleId="RomanList3">
    <w:name w:val="Roman List 3"/>
    <w:basedOn w:val="AlphaList"/>
    <w:rsid w:val="0000768D"/>
    <w:pPr>
      <w:numPr>
        <w:ilvl w:val="2"/>
        <w:numId w:val="22"/>
      </w:numPr>
      <w:ind w:left="1077" w:hanging="357"/>
      <w:outlineLvl w:val="2"/>
    </w:pPr>
  </w:style>
  <w:style w:type="paragraph" w:customStyle="1" w:styleId="RomanList4">
    <w:name w:val="Roman List 4"/>
    <w:basedOn w:val="AlphaList"/>
    <w:rsid w:val="005F10C7"/>
    <w:pPr>
      <w:numPr>
        <w:ilvl w:val="3"/>
        <w:numId w:val="22"/>
      </w:numPr>
      <w:tabs>
        <w:tab w:val="left" w:pos="1800"/>
      </w:tabs>
      <w:outlineLvl w:val="3"/>
    </w:pPr>
  </w:style>
  <w:style w:type="paragraph" w:customStyle="1" w:styleId="StyleTOCHeading2Before6ptAfter6pt">
    <w:name w:val="Style TOC Heading 2 + Before:  6 pt After:  6 pt"/>
    <w:basedOn w:val="TOCHeading2"/>
    <w:rsid w:val="005F10C7"/>
    <w:pPr>
      <w:spacing w:before="120" w:after="120"/>
    </w:pPr>
    <w:rPr>
      <w:rFonts w:ascii="Arial" w:hAnsi="Arial"/>
      <w:b/>
      <w:szCs w:val="28"/>
    </w:rPr>
  </w:style>
  <w:style w:type="paragraph" w:customStyle="1" w:styleId="CertificateHeading">
    <w:name w:val="Certificate Heading"/>
    <w:basedOn w:val="Heading1"/>
    <w:next w:val="Normal"/>
    <w:rsid w:val="005F10C7"/>
    <w:pPr>
      <w:numPr>
        <w:numId w:val="0"/>
      </w:numPr>
      <w:tabs>
        <w:tab w:val="num" w:pos="0"/>
      </w:tabs>
    </w:pPr>
  </w:style>
  <w:style w:type="paragraph" w:customStyle="1" w:styleId="DashBullet5">
    <w:name w:val="Dash Bullet 5"/>
    <w:basedOn w:val="DashBullet"/>
    <w:rsid w:val="00161E91"/>
    <w:pPr>
      <w:numPr>
        <w:ilvl w:val="4"/>
        <w:numId w:val="11"/>
      </w:numPr>
      <w:spacing w:line="240" w:lineRule="auto"/>
      <w:outlineLvl w:val="4"/>
    </w:pPr>
  </w:style>
  <w:style w:type="paragraph" w:styleId="BlockText">
    <w:name w:val="Block Text"/>
    <w:basedOn w:val="Normal"/>
    <w:rsid w:val="005F10C7"/>
    <w:pPr>
      <w:suppressLineNumbers/>
      <w:tabs>
        <w:tab w:val="left" w:pos="709"/>
      </w:tabs>
      <w:suppressAutoHyphens/>
      <w:ind w:left="709" w:right="-43" w:hanging="709"/>
    </w:pPr>
  </w:style>
  <w:style w:type="paragraph" w:styleId="BodyText3">
    <w:name w:val="Body Text 3"/>
    <w:basedOn w:val="Normal"/>
    <w:rsid w:val="005F10C7"/>
    <w:pPr>
      <w:suppressLineNumbers/>
      <w:suppressAutoHyphens/>
      <w:jc w:val="center"/>
    </w:pPr>
    <w:rPr>
      <w:b/>
      <w:color w:val="0000FF"/>
    </w:rPr>
  </w:style>
  <w:style w:type="paragraph" w:customStyle="1" w:styleId="Highlights">
    <w:name w:val="Highlights"/>
    <w:basedOn w:val="Normal"/>
    <w:next w:val="Normal"/>
    <w:rsid w:val="005F10C7"/>
    <w:pPr>
      <w:pageBreakBefore/>
      <w:numPr>
        <w:numId w:val="17"/>
      </w:numPr>
      <w:pBdr>
        <w:top w:val="single" w:sz="12" w:space="1" w:color="auto"/>
        <w:left w:val="single" w:sz="12" w:space="9" w:color="auto"/>
        <w:bottom w:val="single" w:sz="12" w:space="1" w:color="auto"/>
        <w:right w:val="single" w:sz="12" w:space="0" w:color="auto"/>
      </w:pBdr>
      <w:spacing w:before="1500" w:after="480" w:line="1820" w:lineRule="exact"/>
      <w:ind w:right="6840"/>
    </w:pPr>
  </w:style>
  <w:style w:type="paragraph" w:customStyle="1" w:styleId="Certification">
    <w:name w:val="Certification"/>
    <w:basedOn w:val="Normal"/>
    <w:next w:val="Normal"/>
    <w:rsid w:val="005F10C7"/>
    <w:pPr>
      <w:pageBreakBefore/>
      <w:numPr>
        <w:ilvl w:val="1"/>
        <w:numId w:val="9"/>
      </w:numPr>
      <w:pBdr>
        <w:top w:val="single" w:sz="12" w:space="1" w:color="auto"/>
        <w:left w:val="single" w:sz="12" w:space="9" w:color="auto"/>
        <w:bottom w:val="single" w:sz="12" w:space="1" w:color="auto"/>
        <w:right w:val="single" w:sz="12" w:space="0" w:color="auto"/>
      </w:pBdr>
      <w:spacing w:before="1500" w:after="480" w:line="1820" w:lineRule="exact"/>
      <w:ind w:right="6840"/>
      <w:outlineLvl w:val="1"/>
    </w:pPr>
  </w:style>
  <w:style w:type="paragraph" w:styleId="NormalIndent">
    <w:name w:val="Normal Indent"/>
    <w:basedOn w:val="Normal"/>
    <w:rsid w:val="00633F05"/>
    <w:pPr>
      <w:numPr>
        <w:ilvl w:val="1"/>
        <w:numId w:val="21"/>
      </w:numPr>
      <w:suppressLineNumbers/>
      <w:suppressAutoHyphens/>
      <w:ind w:left="714" w:hanging="357"/>
      <w:outlineLvl w:val="1"/>
    </w:pPr>
  </w:style>
  <w:style w:type="paragraph" w:customStyle="1" w:styleId="OutlineNum">
    <w:name w:val="Outline Num"/>
    <w:basedOn w:val="Normal"/>
    <w:next w:val="OutlineNum2"/>
    <w:rsid w:val="00D8668C"/>
    <w:pPr>
      <w:numPr>
        <w:numId w:val="27"/>
      </w:numPr>
    </w:pPr>
    <w:rPr>
      <w:rFonts w:ascii="Arial Black" w:hAnsi="Arial Black"/>
      <w:szCs w:val="22"/>
    </w:rPr>
  </w:style>
  <w:style w:type="paragraph" w:customStyle="1" w:styleId="Summary">
    <w:name w:val="Summary"/>
    <w:basedOn w:val="Highlights"/>
    <w:next w:val="SummaryHeading"/>
    <w:rsid w:val="005F10C7"/>
    <w:pPr>
      <w:numPr>
        <w:numId w:val="23"/>
      </w:numPr>
    </w:pPr>
  </w:style>
  <w:style w:type="paragraph" w:customStyle="1" w:styleId="SummaryHeading">
    <w:name w:val="Summary Heading"/>
    <w:basedOn w:val="Normal"/>
    <w:next w:val="ListNumber"/>
    <w:rsid w:val="005F10C7"/>
    <w:pPr>
      <w:spacing w:before="60"/>
    </w:pPr>
    <w:rPr>
      <w:rFonts w:ascii="Arial Black" w:hAnsi="Arial Black"/>
      <w:sz w:val="28"/>
    </w:rPr>
  </w:style>
  <w:style w:type="paragraph" w:customStyle="1" w:styleId="StyleTOCHeading3Before6ptAfter6pt">
    <w:name w:val="Style TOC Heading 3 + Before:  6 pt After:  6 pt"/>
    <w:basedOn w:val="TOCHeading3"/>
    <w:rsid w:val="005F10C7"/>
    <w:pPr>
      <w:spacing w:before="120" w:after="120"/>
    </w:pPr>
    <w:rPr>
      <w:rFonts w:ascii="Arial" w:hAnsi="Arial"/>
      <w:b/>
      <w:szCs w:val="28"/>
    </w:rPr>
  </w:style>
  <w:style w:type="paragraph" w:customStyle="1" w:styleId="ListNumHeading">
    <w:name w:val="List Num Heading"/>
    <w:basedOn w:val="ListNumber"/>
    <w:next w:val="NormalIndent1"/>
    <w:rsid w:val="005F10C7"/>
    <w:pPr>
      <w:numPr>
        <w:ilvl w:val="5"/>
        <w:numId w:val="20"/>
      </w:numPr>
    </w:pPr>
    <w:rPr>
      <w:b/>
      <w:sz w:val="23"/>
      <w:szCs w:val="23"/>
    </w:rPr>
  </w:style>
  <w:style w:type="paragraph" w:customStyle="1" w:styleId="CertificateStart">
    <w:name w:val="Certificate Start"/>
    <w:basedOn w:val="Normal"/>
    <w:rsid w:val="005F10C7"/>
    <w:pPr>
      <w:pageBreakBefore/>
      <w:pBdr>
        <w:top w:val="single" w:sz="12" w:space="1" w:color="auto"/>
        <w:left w:val="single" w:sz="12" w:space="9" w:color="auto"/>
        <w:bottom w:val="single" w:sz="12" w:space="1" w:color="auto"/>
        <w:right w:val="single" w:sz="12" w:space="0" w:color="auto"/>
      </w:pBdr>
      <w:spacing w:before="1500" w:after="480" w:line="360" w:lineRule="atLeast"/>
      <w:ind w:left="187" w:right="6840"/>
    </w:pPr>
  </w:style>
  <w:style w:type="paragraph" w:customStyle="1" w:styleId="ParagraphHeading2">
    <w:name w:val="Paragraph Heading 2"/>
    <w:basedOn w:val="NormalIndent2"/>
    <w:next w:val="OutlineNum2"/>
    <w:rsid w:val="00F508AE"/>
    <w:pPr>
      <w:ind w:left="357" w:hanging="357"/>
    </w:pPr>
    <w:rPr>
      <w:rFonts w:cs="Times New Roman Bold"/>
      <w:b/>
      <w:sz w:val="23"/>
      <w:szCs w:val="24"/>
    </w:rPr>
  </w:style>
  <w:style w:type="paragraph" w:customStyle="1" w:styleId="ExecutiveSummary">
    <w:name w:val="Executive Summary"/>
    <w:basedOn w:val="Normal"/>
    <w:rsid w:val="005F10C7"/>
    <w:pPr>
      <w:pageBreakBefore/>
      <w:pBdr>
        <w:top w:val="single" w:sz="12" w:space="1" w:color="auto"/>
        <w:left w:val="single" w:sz="12" w:space="9" w:color="auto"/>
        <w:bottom w:val="single" w:sz="12" w:space="1" w:color="auto"/>
        <w:right w:val="single" w:sz="12" w:space="0" w:color="auto"/>
      </w:pBdr>
      <w:spacing w:before="1500" w:after="480" w:line="360" w:lineRule="atLeast"/>
      <w:ind w:left="187" w:right="6840"/>
    </w:pPr>
  </w:style>
  <w:style w:type="paragraph" w:customStyle="1" w:styleId="DashBulletSingle2">
    <w:name w:val="Dash Bullet Single 2"/>
    <w:basedOn w:val="DashBullet2"/>
    <w:rsid w:val="006C7B6A"/>
    <w:pPr>
      <w:numPr>
        <w:ilvl w:val="0"/>
        <w:numId w:val="12"/>
      </w:numPr>
      <w:spacing w:after="0"/>
    </w:pPr>
  </w:style>
  <w:style w:type="paragraph" w:customStyle="1" w:styleId="DashBulletSingle3">
    <w:name w:val="Dash Bullet Single 3"/>
    <w:basedOn w:val="DashBulletSingle2"/>
    <w:rsid w:val="005F10C7"/>
    <w:pPr>
      <w:numPr>
        <w:ilvl w:val="2"/>
        <w:numId w:val="14"/>
      </w:numPr>
    </w:pPr>
  </w:style>
  <w:style w:type="paragraph" w:customStyle="1" w:styleId="DashBulletSingle4">
    <w:name w:val="Dash Bullet Single 4"/>
    <w:basedOn w:val="DashBullet4"/>
    <w:rsid w:val="008822AD"/>
    <w:pPr>
      <w:numPr>
        <w:numId w:val="13"/>
      </w:numPr>
      <w:spacing w:after="0"/>
      <w:ind w:left="1077" w:hanging="357"/>
    </w:pPr>
  </w:style>
  <w:style w:type="paragraph" w:customStyle="1" w:styleId="DashBulletSingle5">
    <w:name w:val="Dash Bullet Single 5"/>
    <w:basedOn w:val="DashBulletSingle4"/>
    <w:rsid w:val="005F10C7"/>
    <w:pPr>
      <w:numPr>
        <w:ilvl w:val="4"/>
        <w:numId w:val="14"/>
      </w:numPr>
    </w:pPr>
  </w:style>
  <w:style w:type="paragraph" w:customStyle="1" w:styleId="AddressBlock">
    <w:name w:val="Address Block"/>
    <w:basedOn w:val="Base"/>
    <w:rsid w:val="005F10C7"/>
    <w:pPr>
      <w:spacing w:line="220" w:lineRule="atLeast"/>
      <w:ind w:left="6120"/>
    </w:pPr>
  </w:style>
  <w:style w:type="paragraph" w:customStyle="1" w:styleId="StyleHeading1Before22pt">
    <w:name w:val="Style Heading 1 + Before:  22 pt"/>
    <w:basedOn w:val="Heading1"/>
    <w:rsid w:val="005F10C7"/>
    <w:pPr>
      <w:numPr>
        <w:numId w:val="0"/>
      </w:numPr>
      <w:spacing w:before="0"/>
    </w:pPr>
  </w:style>
  <w:style w:type="character" w:customStyle="1" w:styleId="RomanListChar">
    <w:name w:val="Roman List Char"/>
    <w:link w:val="RomanList"/>
    <w:rsid w:val="005F10C7"/>
    <w:rPr>
      <w:rFonts w:ascii="Arial" w:hAnsi="Arial"/>
      <w:sz w:val="22"/>
    </w:rPr>
  </w:style>
  <w:style w:type="paragraph" w:customStyle="1" w:styleId="TableBullet1">
    <w:name w:val="Table Bullet 1"/>
    <w:basedOn w:val="Normal"/>
    <w:rsid w:val="005F10C7"/>
    <w:pPr>
      <w:numPr>
        <w:ilvl w:val="4"/>
        <w:numId w:val="24"/>
      </w:numPr>
      <w:spacing w:before="40" w:after="40"/>
      <w:outlineLvl w:val="4"/>
    </w:pPr>
    <w:rPr>
      <w:rFonts w:cs="Arial"/>
      <w:sz w:val="20"/>
      <w:lang w:eastAsia="en-US"/>
    </w:rPr>
  </w:style>
  <w:style w:type="paragraph" w:customStyle="1" w:styleId="TableBullet2">
    <w:name w:val="Table Bullet 2"/>
    <w:basedOn w:val="Normal"/>
    <w:rsid w:val="005F10C7"/>
    <w:pPr>
      <w:numPr>
        <w:ilvl w:val="5"/>
        <w:numId w:val="24"/>
      </w:numPr>
      <w:spacing w:before="40" w:after="40"/>
      <w:outlineLvl w:val="5"/>
    </w:pPr>
    <w:rPr>
      <w:rFonts w:cs="Arial"/>
      <w:sz w:val="20"/>
      <w:lang w:eastAsia="en-US"/>
    </w:rPr>
  </w:style>
  <w:style w:type="paragraph" w:customStyle="1" w:styleId="TableBullet3">
    <w:name w:val="Table Bullet 3"/>
    <w:basedOn w:val="Normal"/>
    <w:rsid w:val="005F10C7"/>
    <w:pPr>
      <w:numPr>
        <w:ilvl w:val="6"/>
        <w:numId w:val="24"/>
      </w:numPr>
      <w:spacing w:before="40" w:after="40"/>
      <w:outlineLvl w:val="6"/>
    </w:pPr>
    <w:rPr>
      <w:rFonts w:cs="Arial"/>
      <w:sz w:val="20"/>
      <w:lang w:eastAsia="en-US"/>
    </w:rPr>
  </w:style>
  <w:style w:type="paragraph" w:customStyle="1" w:styleId="TableBullet4">
    <w:name w:val="Table Bullet 4"/>
    <w:basedOn w:val="Normal"/>
    <w:rsid w:val="005F10C7"/>
    <w:pPr>
      <w:numPr>
        <w:ilvl w:val="7"/>
        <w:numId w:val="24"/>
      </w:numPr>
      <w:spacing w:before="40" w:after="40"/>
      <w:outlineLvl w:val="7"/>
    </w:pPr>
    <w:rPr>
      <w:rFonts w:cs="Arial"/>
      <w:sz w:val="20"/>
      <w:lang w:eastAsia="en-US"/>
    </w:rPr>
  </w:style>
  <w:style w:type="table" w:styleId="TableGrid">
    <w:name w:val="Table Grid"/>
    <w:basedOn w:val="TableNormal"/>
    <w:rsid w:val="00045CE6"/>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0F3F"/>
    <w:rPr>
      <w:rFonts w:ascii="Tahoma" w:hAnsi="Tahoma" w:cs="Tahoma"/>
      <w:sz w:val="16"/>
      <w:szCs w:val="16"/>
    </w:rPr>
  </w:style>
  <w:style w:type="character" w:customStyle="1" w:styleId="NormalIndent3Char">
    <w:name w:val="Normal Indent 3 Char"/>
    <w:link w:val="NormalIndent3"/>
    <w:rsid w:val="00834FCF"/>
    <w:rPr>
      <w:rFonts w:ascii="Arial" w:hAnsi="Arial"/>
      <w:sz w:val="22"/>
      <w:lang w:val="en-GB" w:eastAsia="en-GB" w:bidi="ar-SA"/>
    </w:rPr>
  </w:style>
  <w:style w:type="character" w:styleId="CommentReference">
    <w:name w:val="annotation reference"/>
    <w:semiHidden/>
    <w:rsid w:val="00834FCF"/>
    <w:rPr>
      <w:sz w:val="16"/>
      <w:szCs w:val="16"/>
    </w:rPr>
  </w:style>
  <w:style w:type="paragraph" w:styleId="CommentText">
    <w:name w:val="annotation text"/>
    <w:basedOn w:val="Normal"/>
    <w:link w:val="CommentTextChar"/>
    <w:semiHidden/>
    <w:rsid w:val="00834FCF"/>
    <w:pPr>
      <w:spacing w:after="0"/>
    </w:pPr>
    <w:rPr>
      <w:rFonts w:ascii="Times New Roman" w:hAnsi="Times New Roman"/>
      <w:sz w:val="20"/>
    </w:rPr>
  </w:style>
  <w:style w:type="paragraph" w:styleId="CommentSubject">
    <w:name w:val="annotation subject"/>
    <w:basedOn w:val="CommentText"/>
    <w:next w:val="CommentText"/>
    <w:link w:val="CommentSubjectChar"/>
    <w:rsid w:val="00F976BE"/>
    <w:pPr>
      <w:spacing w:after="240"/>
    </w:pPr>
    <w:rPr>
      <w:rFonts w:ascii="Arial" w:hAnsi="Arial"/>
      <w:b/>
      <w:bCs/>
    </w:rPr>
  </w:style>
  <w:style w:type="character" w:customStyle="1" w:styleId="CommentTextChar">
    <w:name w:val="Comment Text Char"/>
    <w:basedOn w:val="DefaultParagraphFont"/>
    <w:link w:val="CommentText"/>
    <w:semiHidden/>
    <w:rsid w:val="00F976BE"/>
  </w:style>
  <w:style w:type="character" w:customStyle="1" w:styleId="CommentSubjectChar">
    <w:name w:val="Comment Subject Char"/>
    <w:link w:val="CommentSubject"/>
    <w:rsid w:val="00F976BE"/>
    <w:rPr>
      <w:rFonts w:ascii="Arial" w:hAnsi="Arial"/>
      <w:b/>
      <w:bCs/>
    </w:rPr>
  </w:style>
  <w:style w:type="paragraph" w:customStyle="1" w:styleId="Standardbodytext">
    <w:name w:val="Standard body text"/>
    <w:basedOn w:val="Normal"/>
    <w:link w:val="StandardbodytextChar"/>
    <w:qFormat/>
    <w:rsid w:val="00765F94"/>
    <w:pPr>
      <w:spacing w:after="160" w:line="259" w:lineRule="auto"/>
      <w:ind w:left="709"/>
    </w:pPr>
    <w:rPr>
      <w:rFonts w:ascii="Calibri" w:eastAsia="Calibri" w:hAnsi="Calibri"/>
      <w:szCs w:val="22"/>
      <w:lang w:eastAsia="en-US"/>
    </w:rPr>
  </w:style>
  <w:style w:type="character" w:customStyle="1" w:styleId="StandardbodytextChar">
    <w:name w:val="Standard body text Char"/>
    <w:link w:val="Standardbodytext"/>
    <w:rsid w:val="00765F94"/>
    <w:rPr>
      <w:rFonts w:ascii="Calibri" w:eastAsia="Calibri" w:hAnsi="Calibri"/>
      <w:sz w:val="22"/>
      <w:szCs w:val="22"/>
      <w:lang w:eastAsia="en-US"/>
    </w:rPr>
  </w:style>
  <w:style w:type="paragraph" w:styleId="Revision">
    <w:name w:val="Revision"/>
    <w:hidden/>
    <w:uiPriority w:val="99"/>
    <w:semiHidden/>
    <w:rsid w:val="00B91568"/>
    <w:rPr>
      <w:rFonts w:ascii="Arial" w:hAnsi="Arial"/>
      <w:sz w:val="22"/>
    </w:rPr>
  </w:style>
  <w:style w:type="paragraph" w:customStyle="1" w:styleId="RTC-Normaltext">
    <w:name w:val="RTC - Normal text"/>
    <w:basedOn w:val="Normal"/>
    <w:link w:val="RTC-NormaltextChar"/>
    <w:qFormat/>
    <w:rsid w:val="008F0C71"/>
    <w:pPr>
      <w:suppressAutoHyphens/>
    </w:pPr>
    <w:rPr>
      <w:rFonts w:cs="Arial"/>
      <w:szCs w:val="22"/>
    </w:rPr>
  </w:style>
  <w:style w:type="character" w:customStyle="1" w:styleId="RTC-NormaltextChar">
    <w:name w:val="RTC - Normal text Char"/>
    <w:basedOn w:val="DefaultParagraphFont"/>
    <w:link w:val="RTC-Normaltext"/>
    <w:rsid w:val="008F0C71"/>
    <w:rPr>
      <w:rFonts w:ascii="Arial" w:hAnsi="Arial" w:cs="Arial"/>
      <w:sz w:val="22"/>
      <w:szCs w:val="22"/>
    </w:rPr>
  </w:style>
  <w:style w:type="paragraph" w:styleId="ListParagraph">
    <w:name w:val="List Paragraph"/>
    <w:aliases w:val="RTC - Bulleted List - multiple levels"/>
    <w:basedOn w:val="Normal"/>
    <w:link w:val="ListParagraphChar"/>
    <w:uiPriority w:val="34"/>
    <w:qFormat/>
    <w:rsid w:val="0056555C"/>
    <w:pPr>
      <w:ind w:left="720"/>
      <w:contextualSpacing/>
    </w:pPr>
    <w:rPr>
      <w:rFonts w:ascii="Mute" w:hAnsi="Mute"/>
      <w:color w:val="003865"/>
      <w:lang w:val="en-US" w:eastAsia="en-US"/>
    </w:rPr>
  </w:style>
  <w:style w:type="character" w:customStyle="1" w:styleId="ListParagraphChar">
    <w:name w:val="List Paragraph Char"/>
    <w:aliases w:val="RTC - Bulleted List - multiple levels Char"/>
    <w:basedOn w:val="DefaultParagraphFont"/>
    <w:link w:val="ListParagraph"/>
    <w:uiPriority w:val="34"/>
    <w:rsid w:val="0056555C"/>
    <w:rPr>
      <w:rFonts w:ascii="Mute" w:hAnsi="Mute"/>
      <w:color w:val="003865"/>
      <w:sz w:val="22"/>
      <w:lang w:val="en-US" w:eastAsia="en-US"/>
    </w:rPr>
  </w:style>
  <w:style w:type="paragraph" w:customStyle="1" w:styleId="Default">
    <w:name w:val="Default"/>
    <w:rsid w:val="00BA03F0"/>
    <w:pPr>
      <w:autoSpaceDE w:val="0"/>
      <w:autoSpaceDN w:val="0"/>
      <w:adjustRightInd w:val="0"/>
    </w:pPr>
    <w:rPr>
      <w:rFonts w:ascii="Arial" w:eastAsiaTheme="minorHAnsi" w:hAnsi="Arial" w:cs="Arial"/>
      <w:color w:val="000000"/>
      <w:sz w:val="24"/>
      <w:szCs w:val="24"/>
      <w:lang w:val="en-US" w:eastAsia="en-US"/>
    </w:rPr>
  </w:style>
  <w:style w:type="character" w:styleId="Hyperlink">
    <w:name w:val="Hyperlink"/>
    <w:basedOn w:val="DefaultParagraphFont"/>
    <w:rsid w:val="00831A01"/>
    <w:rPr>
      <w:color w:val="0563C1" w:themeColor="hyperlink"/>
      <w:u w:val="single"/>
    </w:rPr>
  </w:style>
  <w:style w:type="character" w:styleId="UnresolvedMention">
    <w:name w:val="Unresolved Mention"/>
    <w:basedOn w:val="DefaultParagraphFont"/>
    <w:uiPriority w:val="99"/>
    <w:semiHidden/>
    <w:unhideWhenUsed/>
    <w:rsid w:val="0083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1796">
      <w:bodyDiv w:val="1"/>
      <w:marLeft w:val="0"/>
      <w:marRight w:val="0"/>
      <w:marTop w:val="0"/>
      <w:marBottom w:val="0"/>
      <w:divBdr>
        <w:top w:val="none" w:sz="0" w:space="0" w:color="auto"/>
        <w:left w:val="none" w:sz="0" w:space="0" w:color="auto"/>
        <w:bottom w:val="none" w:sz="0" w:space="0" w:color="auto"/>
        <w:right w:val="none" w:sz="0" w:space="0" w:color="auto"/>
      </w:divBdr>
    </w:div>
    <w:div w:id="592470374">
      <w:bodyDiv w:val="1"/>
      <w:marLeft w:val="0"/>
      <w:marRight w:val="0"/>
      <w:marTop w:val="0"/>
      <w:marBottom w:val="0"/>
      <w:divBdr>
        <w:top w:val="none" w:sz="0" w:space="0" w:color="auto"/>
        <w:left w:val="none" w:sz="0" w:space="0" w:color="auto"/>
        <w:bottom w:val="none" w:sz="0" w:space="0" w:color="auto"/>
        <w:right w:val="none" w:sz="0" w:space="0" w:color="auto"/>
      </w:divBdr>
    </w:div>
    <w:div w:id="781611978">
      <w:bodyDiv w:val="1"/>
      <w:marLeft w:val="0"/>
      <w:marRight w:val="0"/>
      <w:marTop w:val="0"/>
      <w:marBottom w:val="0"/>
      <w:divBdr>
        <w:top w:val="none" w:sz="0" w:space="0" w:color="auto"/>
        <w:left w:val="none" w:sz="0" w:space="0" w:color="auto"/>
        <w:bottom w:val="none" w:sz="0" w:space="0" w:color="auto"/>
        <w:right w:val="none" w:sz="0" w:space="0" w:color="auto"/>
      </w:divBdr>
    </w:div>
    <w:div w:id="960382967">
      <w:bodyDiv w:val="1"/>
      <w:marLeft w:val="0"/>
      <w:marRight w:val="0"/>
      <w:marTop w:val="0"/>
      <w:marBottom w:val="0"/>
      <w:divBdr>
        <w:top w:val="none" w:sz="0" w:space="0" w:color="auto"/>
        <w:left w:val="none" w:sz="0" w:space="0" w:color="auto"/>
        <w:bottom w:val="none" w:sz="0" w:space="0" w:color="auto"/>
        <w:right w:val="none" w:sz="0" w:space="0" w:color="auto"/>
      </w:divBdr>
    </w:div>
    <w:div w:id="1157378980">
      <w:bodyDiv w:val="1"/>
      <w:marLeft w:val="0"/>
      <w:marRight w:val="0"/>
      <w:marTop w:val="0"/>
      <w:marBottom w:val="0"/>
      <w:divBdr>
        <w:top w:val="none" w:sz="0" w:space="0" w:color="auto"/>
        <w:left w:val="none" w:sz="0" w:space="0" w:color="auto"/>
        <w:bottom w:val="none" w:sz="0" w:space="0" w:color="auto"/>
        <w:right w:val="none" w:sz="0" w:space="0" w:color="auto"/>
      </w:divBdr>
    </w:div>
    <w:div w:id="1566716761">
      <w:bodyDiv w:val="1"/>
      <w:marLeft w:val="0"/>
      <w:marRight w:val="0"/>
      <w:marTop w:val="0"/>
      <w:marBottom w:val="0"/>
      <w:divBdr>
        <w:top w:val="none" w:sz="0" w:space="0" w:color="auto"/>
        <w:left w:val="none" w:sz="0" w:space="0" w:color="auto"/>
        <w:bottom w:val="none" w:sz="0" w:space="0" w:color="auto"/>
        <w:right w:val="none" w:sz="0" w:space="0" w:color="auto"/>
      </w:divBdr>
    </w:div>
    <w:div w:id="1941446566">
      <w:bodyDiv w:val="1"/>
      <w:marLeft w:val="0"/>
      <w:marRight w:val="0"/>
      <w:marTop w:val="0"/>
      <w:marBottom w:val="0"/>
      <w:divBdr>
        <w:top w:val="none" w:sz="0" w:space="0" w:color="auto"/>
        <w:left w:val="none" w:sz="0" w:space="0" w:color="auto"/>
        <w:bottom w:val="none" w:sz="0" w:space="0" w:color="auto"/>
        <w:right w:val="none" w:sz="0" w:space="0" w:color="auto"/>
      </w:divBdr>
      <w:divsChild>
        <w:div w:id="675226339">
          <w:marLeft w:val="317"/>
          <w:marRight w:val="0"/>
          <w:marTop w:val="280"/>
          <w:marBottom w:val="0"/>
          <w:divBdr>
            <w:top w:val="none" w:sz="0" w:space="0" w:color="auto"/>
            <w:left w:val="none" w:sz="0" w:space="0" w:color="auto"/>
            <w:bottom w:val="none" w:sz="0" w:space="0" w:color="auto"/>
            <w:right w:val="none" w:sz="0" w:space="0" w:color="auto"/>
          </w:divBdr>
        </w:div>
      </w:divsChild>
    </w:div>
    <w:div w:id="20472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loweholdings.co.uk/wp-content/uploads/2023/04/Amari_SIP-March-2023-Online-Vers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8F8338864C44CA522F9F027B4E8A7" ma:contentTypeVersion="12" ma:contentTypeDescription="Create a new document." ma:contentTypeScope="" ma:versionID="edf4869d20a39ba242d32553031f337d">
  <xsd:schema xmlns:xsd="http://www.w3.org/2001/XMLSchema" xmlns:xs="http://www.w3.org/2001/XMLSchema" xmlns:p="http://schemas.microsoft.com/office/2006/metadata/properties" xmlns:ns3="59a44cc6-7cbf-4c12-b16d-aa59c321bbca" xmlns:ns4="5031431d-b977-40fc-9f47-16e32e320a96" targetNamespace="http://schemas.microsoft.com/office/2006/metadata/properties" ma:root="true" ma:fieldsID="3f0b7e7a3796a8abe2391de1cefa7c9a" ns3:_="" ns4:_="">
    <xsd:import namespace="59a44cc6-7cbf-4c12-b16d-aa59c321bbca"/>
    <xsd:import namespace="5031431d-b977-40fc-9f47-16e32e320a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44cc6-7cbf-4c12-b16d-aa59c321bb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1431d-b977-40fc-9f47-16e32e320a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AE54E-8D40-4995-9B23-3EC1BE8D1E58}">
  <ds:schemaRefs>
    <ds:schemaRef ds:uri="http://schemas.microsoft.com/office/2006/metadata/properties"/>
    <ds:schemaRef ds:uri="http://purl.org/dc/terms/"/>
    <ds:schemaRef ds:uri="http://schemas.openxmlformats.org/package/2006/metadata/core-properties"/>
    <ds:schemaRef ds:uri="59a44cc6-7cbf-4c12-b16d-aa59c321bbca"/>
    <ds:schemaRef ds:uri="http://schemas.microsoft.com/office/2006/documentManagement/types"/>
    <ds:schemaRef ds:uri="http://schemas.microsoft.com/office/infopath/2007/PartnerControls"/>
    <ds:schemaRef ds:uri="http://purl.org/dc/elements/1.1/"/>
    <ds:schemaRef ds:uri="5031431d-b977-40fc-9f47-16e32e320a96"/>
    <ds:schemaRef ds:uri="http://www.w3.org/XML/1998/namespace"/>
    <ds:schemaRef ds:uri="http://purl.org/dc/dcmitype/"/>
  </ds:schemaRefs>
</ds:datastoreItem>
</file>

<file path=customXml/itemProps2.xml><?xml version="1.0" encoding="utf-8"?>
<ds:datastoreItem xmlns:ds="http://schemas.openxmlformats.org/officeDocument/2006/customXml" ds:itemID="{034C20E9-6CFC-400C-8BBB-F141C8C16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44cc6-7cbf-4c12-b16d-aa59c321bbca"/>
    <ds:schemaRef ds:uri="5031431d-b977-40fc-9f47-16e32e320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6E48E-310D-4C51-99B9-E6FFE670CFE7}">
  <ds:schemaRefs>
    <ds:schemaRef ds:uri="http://schemas.openxmlformats.org/officeDocument/2006/bibliography"/>
  </ds:schemaRefs>
</ds:datastoreItem>
</file>

<file path=customXml/itemProps4.xml><?xml version="1.0" encoding="utf-8"?>
<ds:datastoreItem xmlns:ds="http://schemas.openxmlformats.org/officeDocument/2006/customXml" ds:itemID="{9679D803-C0E5-48C5-A819-91694B260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G:\Eworking\IC\Client\Lee\Client ACTIVE\Edmundson\Edmundson Electrical Limited PS\Client Info\SIP\Draft\2013\OtS_abs_ttees_SIP March 2013.doc</vt:lpstr>
    </vt:vector>
  </TitlesOfParts>
  <Company>Marsh &amp; McLennan Companies</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G:\Eworking\IC\Client\Lee\Client ACTIVE\Edmundson\Edmundson Electrical Limited PS\Client Info\SIP\Draft\2013\OtS_abs_ttees_SIP March 2013.doc</dc:title>
  <dc:subject/>
  <dc:creator>Mercer Human Resource Consulting Limited</dc:creator>
  <cp:keywords/>
  <cp:lastModifiedBy>Celia Brimelow</cp:lastModifiedBy>
  <cp:revision>2</cp:revision>
  <cp:lastPrinted>2020-10-08T14:09:00Z</cp:lastPrinted>
  <dcterms:created xsi:type="dcterms:W3CDTF">2024-10-02T14:13:00Z</dcterms:created>
  <dcterms:modified xsi:type="dcterms:W3CDTF">2024-10-02T14:13:00Z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Template">
    <vt:lpwstr>ReportPortrait.dot</vt:lpwstr>
  </property>
  <property fmtid="{D5CDD505-2E9C-101B-9397-08002B2CF9AE}" pid="3" name="MMCOA_PaperResize">
    <vt:lpwstr>Standard</vt:lpwstr>
  </property>
  <property fmtid="{D5CDD505-2E9C-101B-9397-08002B2CF9AE}" pid="4" name="MMCOA_CurrentPaperSetup">
    <vt:lpwstr>USLetter</vt:lpwstr>
  </property>
  <property fmtid="{D5CDD505-2E9C-101B-9397-08002B2CF9AE}" pid="5" name="MMCOA_Redate">
    <vt:lpwstr>Date;</vt:lpwstr>
  </property>
  <property fmtid="{D5CDD505-2E9C-101B-9397-08002B2CF9AE}" pid="6" name="MMCOA_BIC">
    <vt:bool>true</vt:bool>
  </property>
  <property fmtid="{D5CDD505-2E9C-101B-9397-08002B2CF9AE}" pid="7" name="BICCompanyNameNo1">
    <vt:lpwstr>Mercer Human Resource Consulting</vt:lpwstr>
  </property>
  <property fmtid="{D5CDD505-2E9C-101B-9397-08002B2CF9AE}" pid="8" name="BICCompanyNameNo2">
    <vt:lpwstr> </vt:lpwstr>
  </property>
  <property fmtid="{D5CDD505-2E9C-101B-9397-08002B2CF9AE}" pid="9" name="BICCompanyNameNo3">
    <vt:lpwstr> </vt:lpwstr>
  </property>
  <property fmtid="{D5CDD505-2E9C-101B-9397-08002B2CF9AE}" pid="10" name="BICCompanyNameNo4">
    <vt:lpwstr> </vt:lpwstr>
  </property>
  <property fmtid="{D5CDD505-2E9C-101B-9397-08002B2CF9AE}" pid="11" name="MMCOA_TemplateVersion">
    <vt:lpwstr>0</vt:lpwstr>
  </property>
  <property fmtid="{D5CDD505-2E9C-101B-9397-08002B2CF9AE}" pid="12" name="BICCompanyAddressNo1">
    <vt:lpwstr>Telford House_x000d_
14 Tothill Street_x000d_
London SW1H 9NB</vt:lpwstr>
  </property>
  <property fmtid="{D5CDD505-2E9C-101B-9397-08002B2CF9AE}" pid="13" name="BICCompanyAddressNo2">
    <vt:lpwstr> </vt:lpwstr>
  </property>
  <property fmtid="{D5CDD505-2E9C-101B-9397-08002B2CF9AE}" pid="14" name="BICCompanyAddressNo3">
    <vt:lpwstr> </vt:lpwstr>
  </property>
  <property fmtid="{D5CDD505-2E9C-101B-9397-08002B2CF9AE}" pid="15" name="BICCompanyAddressNo4">
    <vt:lpwstr> </vt:lpwstr>
  </property>
  <property fmtid="{D5CDD505-2E9C-101B-9397-08002B2CF9AE}" pid="16" name="BICCompanyPhoneNo1">
    <vt:lpwstr>020 7222 9121</vt:lpwstr>
  </property>
  <property fmtid="{D5CDD505-2E9C-101B-9397-08002B2CF9AE}" pid="17" name="BICCompanyPhoneNo2">
    <vt:lpwstr> </vt:lpwstr>
  </property>
  <property fmtid="{D5CDD505-2E9C-101B-9397-08002B2CF9AE}" pid="18" name="BICCompanyPhoneNo3">
    <vt:lpwstr> </vt:lpwstr>
  </property>
  <property fmtid="{D5CDD505-2E9C-101B-9397-08002B2CF9AE}" pid="19" name="BICCompanyPhoneNo4">
    <vt:lpwstr> </vt:lpwstr>
  </property>
  <property fmtid="{D5CDD505-2E9C-101B-9397-08002B2CF9AE}" pid="20" name="BICCompanyAbbreviatedNameNo1">
    <vt:lpwstr>Mercer Human Resource Consulting</vt:lpwstr>
  </property>
  <property fmtid="{D5CDD505-2E9C-101B-9397-08002B2CF9AE}" pid="21" name="BICCompanyAbbreviatedNameNo2">
    <vt:lpwstr> </vt:lpwstr>
  </property>
  <property fmtid="{D5CDD505-2E9C-101B-9397-08002B2CF9AE}" pid="22" name="BICCompanyAbbreviatedNameNo3">
    <vt:lpwstr> </vt:lpwstr>
  </property>
  <property fmtid="{D5CDD505-2E9C-101B-9397-08002B2CF9AE}" pid="23" name="BICCompanyAbbreviatedNameNo4">
    <vt:lpwstr> </vt:lpwstr>
  </property>
  <property fmtid="{D5CDD505-2E9C-101B-9397-08002B2CF9AE}" pid="24" name="BICCompanyAbbreviationNo1">
    <vt:lpwstr>MRH</vt:lpwstr>
  </property>
  <property fmtid="{D5CDD505-2E9C-101B-9397-08002B2CF9AE}" pid="25" name="BICCompanyAbbreviationNo2">
    <vt:lpwstr> </vt:lpwstr>
  </property>
  <property fmtid="{D5CDD505-2E9C-101B-9397-08002B2CF9AE}" pid="26" name="BICCompanyAbbreviationNo3">
    <vt:lpwstr> </vt:lpwstr>
  </property>
  <property fmtid="{D5CDD505-2E9C-101B-9397-08002B2CF9AE}" pid="27" name="BICCompanyAbbreviationNo4">
    <vt:lpwstr> </vt:lpwstr>
  </property>
  <property fmtid="{D5CDD505-2E9C-101B-9397-08002B2CF9AE}" pid="28" name="MercerDetailsAdded">
    <vt:lpwstr>Y</vt:lpwstr>
  </property>
  <property fmtid="{D5CDD505-2E9C-101B-9397-08002B2CF9AE}" pid="29" name="AuthorInitials">
    <vt:lpwstr>ML</vt:lpwstr>
  </property>
  <property fmtid="{D5CDD505-2E9C-101B-9397-08002B2CF9AE}" pid="30" name="Client">
    <vt:lpwstr/>
  </property>
  <property fmtid="{D5CDD505-2E9C-101B-9397-08002B2CF9AE}" pid="31" name="Peer Reviewer">
    <vt:lpwstr/>
  </property>
  <property fmtid="{D5CDD505-2E9C-101B-9397-08002B2CF9AE}" pid="32" name="Checked By">
    <vt:lpwstr/>
  </property>
  <property fmtid="{D5CDD505-2E9C-101B-9397-08002B2CF9AE}" pid="33" name="Date Produced">
    <vt:lpwstr>09/01/2002</vt:lpwstr>
  </property>
  <property fmtid="{D5CDD505-2E9C-101B-9397-08002B2CF9AE}" pid="34" name="Call Up">
    <vt:lpwstr/>
  </property>
  <property fmtid="{D5CDD505-2E9C-101B-9397-08002B2CF9AE}" pid="35" name="Status">
    <vt:lpwstr>Draft</vt:lpwstr>
  </property>
  <property fmtid="{D5CDD505-2E9C-101B-9397-08002B2CF9AE}" pid="36" name="Files">
    <vt:lpwstr/>
  </property>
  <property fmtid="{D5CDD505-2E9C-101B-9397-08002B2CF9AE}" pid="37" name="Distribution">
    <vt:lpwstr/>
  </property>
  <property fmtid="{D5CDD505-2E9C-101B-9397-08002B2CF9AE}" pid="38" name="MMCOA_Language">
    <vt:lpwstr>en-GB</vt:lpwstr>
  </property>
  <property fmtid="{D5CDD505-2E9C-101B-9397-08002B2CF9AE}" pid="39" name="MMCOA_LanguageDateFormat">
    <vt:lpwstr>dd-MMM-yy</vt:lpwstr>
  </property>
  <property fmtid="{D5CDD505-2E9C-101B-9397-08002B2CF9AE}" pid="40" name="MMCOA_PaperOrientation">
    <vt:lpwstr/>
  </property>
  <property fmtid="{D5CDD505-2E9C-101B-9397-08002B2CF9AE}" pid="41" name="MMCOA_BaseStyle">
    <vt:lpwstr>Base</vt:lpwstr>
  </property>
  <property fmtid="{D5CDD505-2E9C-101B-9397-08002B2CF9AE}" pid="42" name="MMCOA_SuppressLogo">
    <vt:lpwstr>Logo Hide;</vt:lpwstr>
  </property>
  <property fmtid="{D5CDD505-2E9C-101B-9397-08002B2CF9AE}" pid="43" name="MMCOA_SuppressLogoAddress">
    <vt:lpwstr>Logo Hide;Text Hide;</vt:lpwstr>
  </property>
  <property fmtid="{D5CDD505-2E9C-101B-9397-08002B2CF9AE}" pid="44" name="MMCOA_AddStyleKeyBindings">
    <vt:lpwstr>C:\Program Files\Microsoft Office\Office\STARTUP\MRHUKToolbar.dot</vt:lpwstr>
  </property>
  <property fmtid="{D5CDD505-2E9C-101B-9397-08002B2CF9AE}" pid="45" name="_NewReviewCycle">
    <vt:lpwstr/>
  </property>
  <property fmtid="{D5CDD505-2E9C-101B-9397-08002B2CF9AE}" pid="51" name="MSIP_Label_38f1469a-2c2a-4aee-b92b-090d4c5468ff_Enabled">
    <vt:lpwstr>true</vt:lpwstr>
  </property>
  <property fmtid="{D5CDD505-2E9C-101B-9397-08002B2CF9AE}" pid="52" name="MSIP_Label_38f1469a-2c2a-4aee-b92b-090d4c5468ff_SetDate">
    <vt:lpwstr>2021-08-05T13:59:08Z</vt:lpwstr>
  </property>
  <property fmtid="{D5CDD505-2E9C-101B-9397-08002B2CF9AE}" pid="53" name="MSIP_Label_38f1469a-2c2a-4aee-b92b-090d4c5468ff_Method">
    <vt:lpwstr>Standard</vt:lpwstr>
  </property>
  <property fmtid="{D5CDD505-2E9C-101B-9397-08002B2CF9AE}" pid="54" name="MSIP_Label_38f1469a-2c2a-4aee-b92b-090d4c5468ff_Name">
    <vt:lpwstr>Confidential - Unmarked</vt:lpwstr>
  </property>
  <property fmtid="{D5CDD505-2E9C-101B-9397-08002B2CF9AE}" pid="55" name="MSIP_Label_38f1469a-2c2a-4aee-b92b-090d4c5468ff_SiteId">
    <vt:lpwstr>2a6e6092-73e4-4752-b1a5-477a17f5056d</vt:lpwstr>
  </property>
  <property fmtid="{D5CDD505-2E9C-101B-9397-08002B2CF9AE}" pid="56" name="MSIP_Label_38f1469a-2c2a-4aee-b92b-090d4c5468ff_ActionId">
    <vt:lpwstr>f3e9121b-e01f-423e-b1b7-22f1ee50e941</vt:lpwstr>
  </property>
  <property fmtid="{D5CDD505-2E9C-101B-9397-08002B2CF9AE}" pid="57" name="MSIP_Label_38f1469a-2c2a-4aee-b92b-090d4c5468ff_ContentBits">
    <vt:lpwstr>0</vt:lpwstr>
  </property>
  <property fmtid="{D5CDD505-2E9C-101B-9397-08002B2CF9AE}" pid="58" name="ContentTypeId">
    <vt:lpwstr>0x0101004458F8338864C44CA522F9F027B4E8A7</vt:lpwstr>
  </property>
  <property fmtid="{D5CDD505-2E9C-101B-9397-08002B2CF9AE}" pid="59" name="MPR_PEERREVIEW">
    <vt:lpwstr>Peer Review Identifier</vt:lpwstr>
  </property>
  <property fmtid="{D5CDD505-2E9C-101B-9397-08002B2CF9AE}" pid="60" name="MPR_DocID">
    <vt:lpwstr>a65a0926255c46c19f98e63065973359</vt:lpwstr>
  </property>
</Properties>
</file>